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3153B715" w:rsidR="00BA74E6" w:rsidRPr="00F2481D" w:rsidRDefault="0011021F" w:rsidP="00ED3A81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ED3A81"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 en surnombre suite à une disponibilité de droit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6161C1FB" w:rsidR="002F6A36" w:rsidRPr="00137D8F" w:rsidRDefault="0011021F" w:rsidP="00ED3A81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D3A81">
        <w:rPr>
          <w:rFonts w:ascii="Ebrima" w:hAnsi="Ebrima"/>
          <w:b/>
          <w:bCs/>
          <w:color w:val="000000" w:themeColor="text1"/>
          <w:sz w:val="24"/>
          <w:szCs w:val="24"/>
        </w:rPr>
        <w:t>maintien en surnombre suite à une disponibilité de droit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7E5B9D76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ED3A81">
        <w:rPr>
          <w:rFonts w:ascii="Ebrima" w:hAnsi="Ebrima"/>
          <w:bCs/>
          <w:sz w:val="20"/>
          <w:szCs w:val="20"/>
        </w:rPr>
        <w:t xml:space="preserve">67,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5D471483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 w:rsidR="00ED3A81">
        <w:rPr>
          <w:rFonts w:ascii="Ebrima" w:hAnsi="Ebrima"/>
          <w:bCs/>
          <w:sz w:val="20"/>
          <w:szCs w:val="20"/>
        </w:rPr>
        <w:t>ses</w:t>
      </w:r>
      <w:r w:rsidR="00E65C55">
        <w:rPr>
          <w:rFonts w:ascii="Ebrima" w:hAnsi="Ebrima"/>
          <w:bCs/>
          <w:sz w:val="20"/>
          <w:szCs w:val="20"/>
        </w:rPr>
        <w:t xml:space="preserve"> article</w:t>
      </w:r>
      <w:r w:rsidR="00ED3A81">
        <w:rPr>
          <w:rFonts w:ascii="Ebrima" w:hAnsi="Ebrima"/>
          <w:bCs/>
          <w:sz w:val="20"/>
          <w:szCs w:val="20"/>
        </w:rPr>
        <w:t>s</w:t>
      </w:r>
      <w:r w:rsidR="00E65C55">
        <w:rPr>
          <w:rFonts w:ascii="Ebrima" w:hAnsi="Ebrima"/>
          <w:bCs/>
          <w:sz w:val="20"/>
          <w:szCs w:val="20"/>
        </w:rPr>
        <w:t xml:space="preserve"> </w:t>
      </w:r>
      <w:r w:rsidR="00ED3A81">
        <w:rPr>
          <w:rFonts w:ascii="Ebrima" w:hAnsi="Ebrima"/>
          <w:bCs/>
          <w:sz w:val="20"/>
          <w:szCs w:val="20"/>
        </w:rPr>
        <w:t>18 à 26</w:t>
      </w:r>
      <w:r w:rsidR="00B43257">
        <w:rPr>
          <w:rFonts w:ascii="Ebrima" w:hAnsi="Ebrima"/>
          <w:bCs/>
          <w:sz w:val="20"/>
          <w:szCs w:val="20"/>
        </w:rPr>
        <w:t>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0821E912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>Vu le décret n° 2020-69 du 30 janvier 2020 relatif aux contrôles déontologiques dans la fonction publique,</w:t>
      </w:r>
    </w:p>
    <w:p w14:paraId="4B6B56BD" w14:textId="77777777" w:rsidR="00ED3A81" w:rsidRDefault="00ED3A8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0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CF28044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1E2F6A07" w14:textId="77777777" w:rsidR="00ED3A81" w:rsidRPr="00B43257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C03404C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43C66E76" w14:textId="77777777" w:rsidR="00ED3A81" w:rsidRPr="00B43257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E889051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0A027FEE" w14:textId="77777777" w:rsidR="00ED3A81" w:rsidRDefault="00ED3A8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5DE335F" w14:textId="0EE8E0A4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en position de disponibilité </w:t>
      </w:r>
      <w:r w:rsidRPr="00ED3A81">
        <w:rPr>
          <w:rFonts w:ascii="Ebrima" w:hAnsi="Ebrima"/>
          <w:bCs/>
          <w:sz w:val="20"/>
          <w:szCs w:val="20"/>
        </w:rPr>
        <w:t>de droit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pour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(motif de la disponibilité)</w:t>
      </w:r>
      <w:r w:rsidRPr="00EE6461">
        <w:rPr>
          <w:rFonts w:ascii="Ebrima" w:hAnsi="Ebrima"/>
          <w:bCs/>
          <w:sz w:val="20"/>
          <w:szCs w:val="20"/>
        </w:rPr>
        <w:t xml:space="preserve"> à compter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 xml:space="preserve"> 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2865A419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5522BB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de renouvellement</w:t>
      </w:r>
    </w:p>
    <w:p w14:paraId="4BBBAB0F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9A186B2" w14:textId="77777777" w:rsidR="00961D85" w:rsidRDefault="00961D85" w:rsidP="00961D8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fixant la dernière situation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(grade), au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(n°)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échelon, indice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indice majoré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>, 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5DCAD6DB" w14:textId="77777777" w:rsidR="00961D85" w:rsidRDefault="00961D85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52C5FC3" w14:textId="39B4EDE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3A33635B" w14:textId="77777777" w:rsidR="002024FC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8AB12B8" w14:textId="77777777" w:rsidR="00ED3A81" w:rsidRPr="00EE646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Vu la demande 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sz w:val="20"/>
          <w:szCs w:val="20"/>
        </w:rPr>
        <w:t xml:space="preserve">sollicitant </w:t>
      </w:r>
      <w:r>
        <w:rPr>
          <w:rFonts w:ascii="Ebrima" w:hAnsi="Ebrima"/>
          <w:bCs/>
          <w:sz w:val="20"/>
          <w:szCs w:val="20"/>
        </w:rPr>
        <w:t>s</w:t>
      </w:r>
      <w:r w:rsidRPr="00B02033">
        <w:rPr>
          <w:rFonts w:ascii="Ebrima" w:hAnsi="Ebrima"/>
          <w:bCs/>
          <w:sz w:val="20"/>
          <w:szCs w:val="20"/>
        </w:rPr>
        <w:t xml:space="preserve">a réintégration à </w:t>
      </w:r>
      <w:r w:rsidRPr="00EE6461">
        <w:rPr>
          <w:rFonts w:ascii="Ebrima" w:hAnsi="Ebrima"/>
          <w:bCs/>
          <w:sz w:val="20"/>
          <w:szCs w:val="20"/>
        </w:rPr>
        <w:t>compter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40BAC883" w14:textId="77777777" w:rsidR="00ED3A81" w:rsidRPr="00EE6461" w:rsidRDefault="00ED3A8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0FF2B2C" w14:textId="77777777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certificat médical attestant l’aptitude physique à l’emploi,</w:t>
      </w:r>
    </w:p>
    <w:p w14:paraId="54B8C69F" w14:textId="77777777" w:rsidR="002024FC" w:rsidRPr="00EE6461" w:rsidRDefault="002024FC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75881F8" w14:textId="399412A5" w:rsidR="00276F29" w:rsidRPr="00276F29" w:rsidRDefault="00276F29" w:rsidP="00276F29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276F29">
        <w:rPr>
          <w:rFonts w:ascii="Ebrima" w:hAnsi="Ebrima"/>
          <w:bCs/>
          <w:sz w:val="20"/>
          <w:szCs w:val="20"/>
        </w:rPr>
        <w:t xml:space="preserve">Considérant qu’aucun emploi correspondant au grade de </w:t>
      </w:r>
      <w:r w:rsidRPr="00276F2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76F29">
        <w:rPr>
          <w:rFonts w:ascii="Ebrima" w:hAnsi="Ebrima"/>
          <w:bCs/>
          <w:i/>
          <w:sz w:val="20"/>
          <w:szCs w:val="20"/>
        </w:rPr>
        <w:t>(dénomination du grade de l’agent</w:t>
      </w:r>
      <w:r>
        <w:rPr>
          <w:rFonts w:ascii="Ebrima" w:hAnsi="Ebrima"/>
          <w:bCs/>
          <w:sz w:val="20"/>
          <w:szCs w:val="20"/>
        </w:rPr>
        <w:t xml:space="preserve">) </w:t>
      </w:r>
      <w:r w:rsidRPr="00276F29">
        <w:rPr>
          <w:rFonts w:ascii="Ebrima" w:hAnsi="Ebrima"/>
          <w:bCs/>
          <w:sz w:val="20"/>
          <w:szCs w:val="20"/>
        </w:rPr>
        <w:t>n’est vacant</w:t>
      </w:r>
    </w:p>
    <w:p w14:paraId="16CB2CEE" w14:textId="77777777" w:rsidR="00EE6461" w:rsidRPr="00B43257" w:rsidRDefault="00EE646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0A79B1E" w14:textId="77777777" w:rsidR="00DF5624" w:rsidRDefault="00CC42E6" w:rsidP="00DF5624">
      <w:pPr>
        <w:pStyle w:val="loose"/>
        <w:spacing w:before="0" w:beforeAutospacing="0" w:after="0" w:afterAutospacing="0"/>
        <w:jc w:val="both"/>
        <w:rPr>
          <w:rFonts w:ascii="Ebrima" w:hAnsi="Ebrima"/>
          <w:i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>est</w:t>
      </w:r>
      <w:r w:rsidR="00962F89">
        <w:rPr>
          <w:rFonts w:ascii="Ebrima" w:hAnsi="Ebrima"/>
          <w:sz w:val="20"/>
          <w:szCs w:val="20"/>
        </w:rPr>
        <w:t xml:space="preserve"> </w:t>
      </w:r>
      <w:r w:rsidR="0093614D">
        <w:rPr>
          <w:rFonts w:ascii="Ebrima" w:hAnsi="Ebrima"/>
          <w:sz w:val="20"/>
          <w:szCs w:val="20"/>
        </w:rPr>
        <w:t>placé</w:t>
      </w:r>
      <w:r w:rsidR="00ED3A81">
        <w:rPr>
          <w:rFonts w:ascii="Ebrima" w:hAnsi="Ebrima"/>
          <w:sz w:val="20"/>
          <w:szCs w:val="20"/>
        </w:rPr>
        <w:t>(e)</w:t>
      </w:r>
      <w:r w:rsidR="0093614D">
        <w:rPr>
          <w:rFonts w:ascii="Ebrima" w:hAnsi="Ebrima"/>
          <w:sz w:val="20"/>
          <w:szCs w:val="20"/>
        </w:rPr>
        <w:t xml:space="preserve"> </w:t>
      </w:r>
      <w:r w:rsidR="00276F29">
        <w:rPr>
          <w:rFonts w:ascii="Ebrima" w:hAnsi="Ebrima"/>
          <w:sz w:val="20"/>
          <w:szCs w:val="20"/>
        </w:rPr>
        <w:t xml:space="preserve">en </w:t>
      </w:r>
      <w:r w:rsidR="00ED3A81">
        <w:rPr>
          <w:rFonts w:ascii="Ebrima" w:hAnsi="Ebrima"/>
          <w:sz w:val="20"/>
          <w:szCs w:val="20"/>
        </w:rPr>
        <w:t>surnombre</w:t>
      </w:r>
      <w:r w:rsidR="00DF5624">
        <w:rPr>
          <w:rFonts w:ascii="Ebrima" w:hAnsi="Ebrima"/>
          <w:sz w:val="20"/>
          <w:szCs w:val="20"/>
        </w:rPr>
        <w:t xml:space="preserve"> pour une durée d’1 an à compter du </w:t>
      </w:r>
      <w:r w:rsidR="00DF5624" w:rsidRPr="00185FD4">
        <w:rPr>
          <w:rFonts w:ascii="Ebrima" w:hAnsi="Ebrima"/>
          <w:sz w:val="20"/>
          <w:szCs w:val="20"/>
          <w:highlight w:val="yellow"/>
        </w:rPr>
        <w:t>…</w:t>
      </w:r>
      <w:r w:rsidR="00DF5624">
        <w:rPr>
          <w:rFonts w:ascii="Ebrima" w:hAnsi="Ebrima"/>
          <w:sz w:val="20"/>
          <w:szCs w:val="20"/>
        </w:rPr>
        <w:t xml:space="preserve"> </w:t>
      </w:r>
      <w:r w:rsidR="00DF5624" w:rsidRPr="00185FD4">
        <w:rPr>
          <w:rFonts w:ascii="Ebrima" w:hAnsi="Ebrima"/>
          <w:i/>
          <w:sz w:val="20"/>
          <w:szCs w:val="20"/>
        </w:rPr>
        <w:t>(date).</w:t>
      </w:r>
    </w:p>
    <w:p w14:paraId="18F6A6C4" w14:textId="77777777" w:rsidR="00DF5624" w:rsidRDefault="00DF5624" w:rsidP="00DF5624">
      <w:pPr>
        <w:pStyle w:val="loose"/>
        <w:spacing w:before="0" w:beforeAutospacing="0" w:after="0" w:afterAutospacing="0"/>
        <w:jc w:val="both"/>
        <w:rPr>
          <w:rFonts w:ascii="Ebrima" w:hAnsi="Ebrima"/>
          <w:i/>
          <w:sz w:val="20"/>
          <w:szCs w:val="20"/>
        </w:rPr>
      </w:pPr>
    </w:p>
    <w:p w14:paraId="49687103" w14:textId="77777777" w:rsidR="00DF5624" w:rsidRPr="00185FD4" w:rsidRDefault="00DF5624" w:rsidP="00DF5624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185FD4">
        <w:rPr>
          <w:rFonts w:ascii="Ebrima" w:hAnsi="Ebrima"/>
          <w:sz w:val="20"/>
          <w:szCs w:val="20"/>
        </w:rPr>
        <w:t xml:space="preserve">A l’issue de cette période, il est mis à disposition du </w:t>
      </w:r>
      <w:r w:rsidRPr="00185FD4">
        <w:rPr>
          <w:rFonts w:ascii="Ebrima" w:hAnsi="Ebrima" w:cs="Arial"/>
          <w:color w:val="000000" w:themeColor="text1"/>
          <w:sz w:val="20"/>
          <w:szCs w:val="20"/>
        </w:rPr>
        <w:t xml:space="preserve">Centre de Gestion compétent ou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du </w:t>
      </w:r>
      <w:r w:rsidRPr="00185FD4">
        <w:rPr>
          <w:rFonts w:ascii="Ebrima" w:hAnsi="Ebrima" w:cs="Arial"/>
          <w:color w:val="000000" w:themeColor="text1"/>
          <w:sz w:val="20"/>
          <w:szCs w:val="20"/>
        </w:rPr>
        <w:t>C.N.F.P.T.</w:t>
      </w:r>
    </w:p>
    <w:p w14:paraId="2B58767B" w14:textId="77777777" w:rsidR="0093614D" w:rsidRDefault="0093614D" w:rsidP="004E5672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7BC62279" w14:textId="657DC157" w:rsidR="0093614D" w:rsidRPr="00961D85" w:rsidRDefault="0093614D" w:rsidP="004E5672">
      <w:pPr>
        <w:pStyle w:val="loose"/>
        <w:spacing w:before="0" w:beforeAutospacing="0" w:after="0" w:afterAutospacing="0"/>
        <w:jc w:val="both"/>
        <w:rPr>
          <w:rFonts w:ascii="Ebrima" w:hAnsi="Ebrima"/>
          <w:b/>
          <w:sz w:val="20"/>
          <w:szCs w:val="20"/>
        </w:rPr>
      </w:pPr>
      <w:r w:rsidRPr="00961D85">
        <w:rPr>
          <w:rFonts w:ascii="Ebrima" w:hAnsi="Ebrima"/>
          <w:b/>
          <w:sz w:val="20"/>
          <w:szCs w:val="20"/>
        </w:rPr>
        <w:t>Article 2 :</w:t>
      </w:r>
    </w:p>
    <w:p w14:paraId="246F1E0B" w14:textId="77777777" w:rsidR="0093614D" w:rsidRDefault="0093614D" w:rsidP="004E5672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5D1C3BA6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962F89">
        <w:rPr>
          <w:rFonts w:ascii="Ebrima" w:hAnsi="Ebrima"/>
          <w:bCs/>
          <w:sz w:val="20"/>
          <w:szCs w:val="20"/>
        </w:rPr>
        <w:t xml:space="preserve">est classé(e) </w:t>
      </w:r>
      <w:r>
        <w:rPr>
          <w:rFonts w:ascii="Ebrima" w:hAnsi="Ebrima"/>
          <w:bCs/>
          <w:sz w:val="20"/>
          <w:szCs w:val="20"/>
        </w:rPr>
        <w:t>dans les conditions suivantes :</w:t>
      </w:r>
    </w:p>
    <w:p w14:paraId="1F293669" w14:textId="77777777" w:rsidR="00ED3A81" w:rsidRDefault="00ED3A81" w:rsidP="00ED3A8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B190B3A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Cadre d’emplois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i/>
          <w:sz w:val="20"/>
          <w:szCs w:val="20"/>
        </w:rPr>
        <w:t xml:space="preserve">dénomination du cadre d’emplois) </w:t>
      </w:r>
    </w:p>
    <w:p w14:paraId="5AD06292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Grade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(dénomination du grade) </w:t>
      </w:r>
    </w:p>
    <w:p w14:paraId="07626537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02033">
        <w:rPr>
          <w:rFonts w:ascii="Ebrima" w:hAnsi="Ebrima"/>
          <w:bCs/>
          <w:sz w:val="20"/>
          <w:szCs w:val="20"/>
        </w:rPr>
        <w:t xml:space="preserve">Echelon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(n°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30780">
        <w:rPr>
          <w:rFonts w:ascii="Ebrima" w:hAnsi="Ebrima"/>
          <w:bCs/>
          <w:i/>
          <w:sz w:val="20"/>
          <w:szCs w:val="20"/>
        </w:rPr>
        <w:t>d’échelon)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64D1B137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I</w:t>
      </w:r>
      <w:r w:rsidRPr="00EE6461">
        <w:rPr>
          <w:rFonts w:ascii="Ebrima" w:hAnsi="Ebrima"/>
          <w:bCs/>
          <w:sz w:val="20"/>
          <w:szCs w:val="20"/>
        </w:rPr>
        <w:t>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 I</w:t>
      </w:r>
      <w:r w:rsidRPr="00EE6461">
        <w:rPr>
          <w:rFonts w:ascii="Ebrima" w:hAnsi="Ebrima"/>
          <w:bCs/>
          <w:sz w:val="20"/>
          <w:szCs w:val="20"/>
        </w:rPr>
        <w:t xml:space="preserve">ndice majoré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</w:t>
      </w:r>
    </w:p>
    <w:p w14:paraId="5B887AB2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Quotité : </w:t>
      </w:r>
      <w:r w:rsidRPr="00B020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02033">
        <w:rPr>
          <w:rFonts w:ascii="Ebrima" w:hAnsi="Ebrima"/>
          <w:bCs/>
          <w:i/>
          <w:sz w:val="20"/>
          <w:szCs w:val="20"/>
        </w:rPr>
        <w:t xml:space="preserve">(Temps complet OU temps non complet à </w:t>
      </w:r>
      <w:r w:rsidRPr="00B02033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B02033">
        <w:rPr>
          <w:rFonts w:ascii="Ebrima" w:hAnsi="Ebrima"/>
          <w:bCs/>
          <w:i/>
          <w:sz w:val="20"/>
          <w:szCs w:val="20"/>
        </w:rPr>
        <w:t>/35è)</w:t>
      </w:r>
    </w:p>
    <w:p w14:paraId="1DD7F833" w14:textId="77777777" w:rsidR="00ED3A81" w:rsidRDefault="00ED3A81" w:rsidP="00ED3A81">
      <w:pPr>
        <w:pStyle w:val="loose"/>
        <w:numPr>
          <w:ilvl w:val="0"/>
          <w:numId w:val="14"/>
        </w:numPr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3CB8B60E" w14:textId="77777777" w:rsidR="009F5930" w:rsidRPr="00961D85" w:rsidRDefault="009F5930" w:rsidP="00961D8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69A16CC" w14:textId="17619681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3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2F37076F" w14:textId="77777777" w:rsidR="00AC5848" w:rsidRDefault="00AC5848" w:rsidP="00AC584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51C5A63" w14:textId="20781396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disponibilité, </w:t>
      </w:r>
      <w:r w:rsidR="00C94763">
        <w:rPr>
          <w:rFonts w:ascii="Ebrima" w:hAnsi="Ebrima" w:cs="Arial"/>
          <w:color w:val="000000" w:themeColor="text1"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aux articles 25-1 et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lastRenderedPageBreak/>
        <w:t>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BC4475B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3F23B29" w14:textId="77777777" w:rsidR="004E5672" w:rsidRPr="00CC42E6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0ED46A37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FB7D0D" w14:textId="77777777" w:rsidR="004E5672" w:rsidRDefault="004E5672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015987D6" w14:textId="77777777" w:rsidR="00ED3A81" w:rsidRPr="00CC42E6" w:rsidRDefault="00ED3A81" w:rsidP="004E56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CFF86BE" w14:textId="094F1D83" w:rsidR="004E5672" w:rsidRDefault="004E5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1F2ABE81" w14:textId="77777777" w:rsidR="00564672" w:rsidRPr="00CC42E6" w:rsidRDefault="00564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F9D5373" w14:textId="77777777" w:rsidR="004E5672" w:rsidRDefault="004E5672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6E040E"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’autorité territoriale, deux mois avant le début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 cette activité. Le silence gardé par l’autorité territoriale pendant ce délai 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40B35E73" w14:textId="77777777" w:rsidR="00B50E3B" w:rsidRDefault="00B50E3B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7B5C535" w14:textId="16E96977" w:rsidR="004E5672" w:rsidRPr="004E5672" w:rsidRDefault="004E5672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4E5672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5</w:t>
      </w:r>
      <w:r w:rsidRPr="004E5672">
        <w:rPr>
          <w:rFonts w:ascii="Ebrima" w:hAnsi="Ebrima"/>
          <w:b/>
          <w:bCs/>
          <w:sz w:val="20"/>
          <w:szCs w:val="20"/>
        </w:rPr>
        <w:t> :</w:t>
      </w:r>
    </w:p>
    <w:p w14:paraId="081B4270" w14:textId="77777777" w:rsidR="00C02386" w:rsidRDefault="00C02386" w:rsidP="00C0238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6CC9251" w14:textId="0F9986FF" w:rsidR="00C02386" w:rsidRPr="00C02386" w:rsidRDefault="00C02386" w:rsidP="00C0238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GoBack"/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02386">
        <w:rPr>
          <w:rFonts w:ascii="Ebrima" w:hAnsi="Ebrima"/>
          <w:bCs/>
          <w:sz w:val="20"/>
          <w:szCs w:val="20"/>
        </w:rPr>
        <w:t>a priorité pour être affecté</w:t>
      </w:r>
      <w:r w:rsidRPr="00C02386">
        <w:rPr>
          <w:rFonts w:ascii="Ebrima" w:hAnsi="Ebrima"/>
          <w:bCs/>
          <w:i/>
          <w:sz w:val="20"/>
          <w:szCs w:val="20"/>
        </w:rPr>
        <w:t>(e)</w:t>
      </w:r>
      <w:r w:rsidRPr="00C02386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à la première vacance ou création d’emploi </w:t>
      </w:r>
      <w:r w:rsidRPr="00C02386">
        <w:rPr>
          <w:rFonts w:ascii="Ebrima" w:hAnsi="Ebrima"/>
          <w:bCs/>
          <w:sz w:val="20"/>
          <w:szCs w:val="20"/>
        </w:rPr>
        <w:t xml:space="preserve">correspondant à son grade au sein </w:t>
      </w:r>
      <w:r>
        <w:rPr>
          <w:rFonts w:ascii="Ebrima" w:hAnsi="Ebrima"/>
          <w:bCs/>
          <w:sz w:val="20"/>
          <w:szCs w:val="20"/>
        </w:rPr>
        <w:t xml:space="preserve">de </w:t>
      </w:r>
      <w:r w:rsidRPr="00C02386">
        <w:rPr>
          <w:rFonts w:ascii="Ebrima" w:hAnsi="Ebrima"/>
          <w:bCs/>
          <w:i/>
          <w:sz w:val="20"/>
          <w:szCs w:val="20"/>
        </w:rPr>
        <w:t>la collectivité ou l’établissement</w:t>
      </w:r>
      <w:r w:rsidRPr="00C02386">
        <w:rPr>
          <w:rFonts w:ascii="Ebrima" w:hAnsi="Ebrima"/>
          <w:bCs/>
          <w:sz w:val="20"/>
          <w:szCs w:val="20"/>
        </w:rPr>
        <w:t>,</w:t>
      </w:r>
    </w:p>
    <w:bookmarkEnd w:id="3"/>
    <w:p w14:paraId="442F2C3A" w14:textId="77777777" w:rsidR="00C94763" w:rsidRDefault="00C94763" w:rsidP="00ED3A81">
      <w:pPr>
        <w:spacing w:after="0" w:line="240" w:lineRule="auto"/>
        <w:jc w:val="both"/>
      </w:pPr>
    </w:p>
    <w:p w14:paraId="60C089A4" w14:textId="600C1FF3" w:rsidR="00C94763" w:rsidRDefault="00C94763" w:rsidP="00ED3A8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t xml:space="preserve">OU </w:t>
      </w:r>
      <w:r w:rsidRPr="00C94763">
        <w:rPr>
          <w:i/>
        </w:rPr>
        <w:t>(pour les disponibilités de droit pour suivre son conjoint ou le partenaire avec lequel il est lié par un pacte civil de solidarité, si la disponibilité excède 3 ans</w:t>
      </w:r>
      <w:r>
        <w:rPr>
          <w:i/>
        </w:rPr>
        <w:t>)</w:t>
      </w:r>
      <w:r>
        <w:t xml:space="preserve"> La collectivité ou l’établissement doit proposer à l’agent une des premières vacances de poste.</w:t>
      </w:r>
    </w:p>
    <w:p w14:paraId="389FF61E" w14:textId="77777777" w:rsidR="00ED3A81" w:rsidRDefault="00ED3A81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FD74334" w14:textId="77777777" w:rsidR="00C94763" w:rsidRPr="00CC42E6" w:rsidRDefault="00C94763" w:rsidP="00C94763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6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594FDBE" w14:textId="77777777" w:rsidR="00C94763" w:rsidRDefault="00C94763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09DA0B5" w14:textId="289DAE29" w:rsidR="00D34B4D" w:rsidRPr="00441F35" w:rsidRDefault="00D34B4D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Le Centre de Gestion compétent ou le C.N.F.P.T. sera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informé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 de la présente décision relative au maintien en </w:t>
      </w:r>
      <w:r w:rsidR="00C94763">
        <w:rPr>
          <w:rFonts w:ascii="Ebrima" w:hAnsi="Ebrima" w:cs="Arial"/>
          <w:color w:val="000000" w:themeColor="text1"/>
          <w:sz w:val="20"/>
          <w:szCs w:val="20"/>
        </w:rPr>
        <w:t>surnombre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 de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 xml:space="preserve"> l’agent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 xml:space="preserve">, afin qu’il propose pour sa part tout emploi vacant correspondant à son grade, </w:t>
      </w:r>
      <w:r w:rsidR="00441F35">
        <w:rPr>
          <w:rFonts w:ascii="Ebrima" w:hAnsi="Ebrima" w:cs="Arial"/>
          <w:color w:val="000000" w:themeColor="text1"/>
          <w:sz w:val="20"/>
          <w:szCs w:val="20"/>
        </w:rPr>
        <w:t>ou les possibilités de reclassement</w:t>
      </w:r>
      <w:r w:rsidRPr="00441F35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AC730DA" w14:textId="77777777" w:rsidR="00B02033" w:rsidRDefault="00B02033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0B0988C" w14:textId="2B55A078" w:rsidR="004E5672" w:rsidRDefault="004E5672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61D85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150D9B8B" w14:textId="77777777" w:rsidR="004E5672" w:rsidRDefault="004E5672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24160E59" w:rsidR="006E040E" w:rsidRPr="006E040E" w:rsidRDefault="006E040E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61D85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962F89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45BD1" w14:textId="60DD5706" w:rsidR="00962F89" w:rsidRPr="00CC42E6" w:rsidRDefault="00962F89" w:rsidP="00961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961D85">
        <w:rPr>
          <w:rFonts w:ascii="Ebrima" w:hAnsi="Ebrima"/>
          <w:b/>
          <w:bCs/>
          <w:sz w:val="20"/>
          <w:szCs w:val="20"/>
        </w:rPr>
        <w:t>9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lastRenderedPageBreak/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961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961D85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961D85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961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961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961D8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961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961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961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DC361" w14:textId="77777777" w:rsidR="00337C81" w:rsidRDefault="00337C81" w:rsidP="00617C71">
      <w:pPr>
        <w:spacing w:after="0" w:line="240" w:lineRule="auto"/>
      </w:pPr>
      <w:r>
        <w:separator/>
      </w:r>
    </w:p>
  </w:endnote>
  <w:endnote w:type="continuationSeparator" w:id="0">
    <w:p w14:paraId="6C0DF7A1" w14:textId="77777777" w:rsidR="00337C81" w:rsidRDefault="00337C8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26A3A" w14:textId="77777777" w:rsidR="00337C81" w:rsidRDefault="00337C81" w:rsidP="00617C71">
      <w:pPr>
        <w:spacing w:after="0" w:line="240" w:lineRule="auto"/>
      </w:pPr>
      <w:r>
        <w:separator/>
      </w:r>
    </w:p>
  </w:footnote>
  <w:footnote w:type="continuationSeparator" w:id="0">
    <w:p w14:paraId="78446D44" w14:textId="77777777" w:rsidR="00337C81" w:rsidRDefault="00337C81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71973858" w14:textId="77777777" w:rsidR="004E5672" w:rsidRPr="009E406F" w:rsidRDefault="004E5672" w:rsidP="004E5672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3963"/>
    <w:rsid w:val="00060264"/>
    <w:rsid w:val="0006114E"/>
    <w:rsid w:val="00061A36"/>
    <w:rsid w:val="000863F2"/>
    <w:rsid w:val="00097034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E6961"/>
    <w:rsid w:val="001F61EB"/>
    <w:rsid w:val="002024FC"/>
    <w:rsid w:val="00215D15"/>
    <w:rsid w:val="00237361"/>
    <w:rsid w:val="00244619"/>
    <w:rsid w:val="002478F0"/>
    <w:rsid w:val="00264FDE"/>
    <w:rsid w:val="002669C3"/>
    <w:rsid w:val="00271AEC"/>
    <w:rsid w:val="00276F29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37C81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1F35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E5672"/>
    <w:rsid w:val="004F09E1"/>
    <w:rsid w:val="00500147"/>
    <w:rsid w:val="00514323"/>
    <w:rsid w:val="00530589"/>
    <w:rsid w:val="00552018"/>
    <w:rsid w:val="00564672"/>
    <w:rsid w:val="00574E83"/>
    <w:rsid w:val="0058158E"/>
    <w:rsid w:val="00596B69"/>
    <w:rsid w:val="005B0A62"/>
    <w:rsid w:val="005B1777"/>
    <w:rsid w:val="005B17A6"/>
    <w:rsid w:val="005B3432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00CF2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7F5F08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14D"/>
    <w:rsid w:val="0093643C"/>
    <w:rsid w:val="009472DF"/>
    <w:rsid w:val="00961D85"/>
    <w:rsid w:val="00962F8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C574D"/>
    <w:rsid w:val="00AC5848"/>
    <w:rsid w:val="00AD1513"/>
    <w:rsid w:val="00AD2D0B"/>
    <w:rsid w:val="00AE18B4"/>
    <w:rsid w:val="00AE4F28"/>
    <w:rsid w:val="00AE7BCE"/>
    <w:rsid w:val="00B02033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02386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94763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34B4D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624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5C55"/>
    <w:rsid w:val="00E86FE7"/>
    <w:rsid w:val="00E901C1"/>
    <w:rsid w:val="00E97E53"/>
    <w:rsid w:val="00EB20BF"/>
    <w:rsid w:val="00EB7DA0"/>
    <w:rsid w:val="00ED3A81"/>
    <w:rsid w:val="00EE6461"/>
    <w:rsid w:val="00F17B47"/>
    <w:rsid w:val="00F2481D"/>
    <w:rsid w:val="00F30DE2"/>
    <w:rsid w:val="00F56367"/>
    <w:rsid w:val="00F75AC6"/>
    <w:rsid w:val="00F966AA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3356-4780-46DE-8AEC-A403F498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27</TotalTime>
  <Pages>1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d'office suite détachement ou congé parental</vt:lpstr>
    </vt:vector>
  </TitlesOfParts>
  <Manager>laurent.gougeon@cdg45.fr</Manager>
  <Company>CDG 45</Company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maintien en surnombre suite disponibilité de droit</dc:title>
  <dc:subject/>
  <dc:creator>laurent.gougeon@cdg45.fr</dc:creator>
  <cp:keywords>Modèle, arrêté, maintien, surnombre, disponibilité, droit</cp:keywords>
  <dc:description/>
  <cp:lastModifiedBy>Laurent GOUGEON</cp:lastModifiedBy>
  <cp:revision>6</cp:revision>
  <cp:lastPrinted>2020-04-08T06:34:00Z</cp:lastPrinted>
  <dcterms:created xsi:type="dcterms:W3CDTF">2021-06-08T14:08:00Z</dcterms:created>
  <dcterms:modified xsi:type="dcterms:W3CDTF">2021-06-08T14:52:00Z</dcterms:modified>
</cp:coreProperties>
</file>