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3872E96F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disponibilité pour </w:t>
      </w:r>
      <w:r w:rsidR="00A20EC2">
        <w:rPr>
          <w:rFonts w:ascii="Ebrima" w:hAnsi="Ebrima"/>
          <w:b/>
          <w:bCs/>
          <w:i/>
          <w:color w:val="000000" w:themeColor="text1"/>
          <w:sz w:val="28"/>
          <w:szCs w:val="28"/>
        </w:rPr>
        <w:t>études ou recherches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51EB36E6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mise en disponibilité pour </w:t>
      </w:r>
      <w:r w:rsidR="00A20EC2">
        <w:rPr>
          <w:rFonts w:ascii="Ebrima" w:hAnsi="Ebrima"/>
          <w:b/>
          <w:bCs/>
          <w:color w:val="000000" w:themeColor="text1"/>
          <w:sz w:val="24"/>
          <w:szCs w:val="24"/>
        </w:rPr>
        <w:t>études ou recherches</w:t>
      </w:r>
    </w:p>
    <w:p w14:paraId="29F0D796" w14:textId="6E807E42" w:rsidR="002B30A1" w:rsidRPr="00137D8F" w:rsidRDefault="00A20EC2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3C07C71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72C155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44288400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disponibilité pour </w:t>
      </w:r>
      <w:r w:rsidR="00A20EC2">
        <w:rPr>
          <w:rFonts w:ascii="Ebrima" w:hAnsi="Ebrima"/>
          <w:bCs/>
          <w:sz w:val="20"/>
          <w:szCs w:val="20"/>
        </w:rPr>
        <w:t>études ou recherches</w:t>
      </w:r>
      <w:r w:rsidRPr="00B43257">
        <w:rPr>
          <w:rFonts w:ascii="Ebrima" w:hAnsi="Ebrima"/>
          <w:bCs/>
          <w:sz w:val="20"/>
          <w:szCs w:val="20"/>
        </w:rPr>
        <w:t xml:space="preserve">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E3307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BDBBF22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22EE89" w14:textId="68FB6753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="005E3307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 w:rsidR="005E3307">
        <w:rPr>
          <w:rFonts w:ascii="Ebrima" w:hAnsi="Ebrima"/>
          <w:bCs/>
          <w:sz w:val="20"/>
          <w:szCs w:val="20"/>
        </w:rPr>
        <w:t xml:space="preserve">Monsieur ou Madame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 w:rsidR="005E3307">
        <w:rPr>
          <w:rFonts w:ascii="Ebrima" w:hAnsi="Ebrima"/>
          <w:bCs/>
          <w:i/>
          <w:sz w:val="20"/>
          <w:szCs w:val="20"/>
        </w:rPr>
        <w:t>-la</w:t>
      </w:r>
      <w:proofErr w:type="spellEnd"/>
      <w:r w:rsidR="005E3307"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="005E3307" w:rsidRPr="005E3307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5840459B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3E9AE91E" w14:textId="6DEFE1AF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la disponibilité pour </w:t>
      </w:r>
      <w:r w:rsidR="00A20EC2">
        <w:rPr>
          <w:rFonts w:ascii="Ebrima" w:hAnsi="Ebrima"/>
          <w:sz w:val="20"/>
          <w:szCs w:val="20"/>
        </w:rPr>
        <w:t>études et recherches</w:t>
      </w:r>
      <w:r w:rsidRPr="00B43257">
        <w:rPr>
          <w:rFonts w:ascii="Ebrima" w:hAnsi="Ebrima"/>
          <w:sz w:val="20"/>
          <w:szCs w:val="20"/>
        </w:rPr>
        <w:t xml:space="preserve"> ne peut excéder au total dix années pour l’ensemble de la carrière,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  <w:r w:rsidR="005E3307" w:rsidRPr="005E3307">
        <w:rPr>
          <w:rFonts w:ascii="Ebrima" w:hAnsi="Ebrima"/>
          <w:sz w:val="20"/>
          <w:szCs w:val="20"/>
        </w:rPr>
        <w:t>à condition d’une réintégration dans la fonction publique de 18 mois consécutifs au plus tard au terme d’une période de 5 ans</w:t>
      </w:r>
    </w:p>
    <w:p w14:paraId="34BB2560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6164C5A3" w14:textId="77777777" w:rsidR="00AE7BCE" w:rsidRPr="00B43257" w:rsidRDefault="00AE7BCE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1421445F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position de disponibilité pour </w:t>
      </w:r>
      <w:r w:rsidR="00A20EC2">
        <w:rPr>
          <w:rFonts w:ascii="Ebrima" w:hAnsi="Ebrima"/>
          <w:sz w:val="20"/>
          <w:szCs w:val="20"/>
        </w:rPr>
        <w:t>études ou recherches</w:t>
      </w:r>
      <w:r w:rsidR="005E3307" w:rsidRPr="00CC42E6">
        <w:rPr>
          <w:rFonts w:ascii="Ebrima" w:hAnsi="Ebrima"/>
          <w:sz w:val="20"/>
          <w:szCs w:val="20"/>
        </w:rPr>
        <w:t xml:space="preserve"> pour 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1E91F94E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de la disponibilité pour </w:t>
      </w:r>
      <w:r w:rsidR="00A20EC2">
        <w:rPr>
          <w:rFonts w:ascii="Ebrima" w:hAnsi="Ebrima" w:cs="Arial"/>
          <w:color w:val="000000" w:themeColor="text1"/>
          <w:sz w:val="20"/>
          <w:szCs w:val="20"/>
        </w:rPr>
        <w:t>études ou recherches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ne peut excéder </w:t>
      </w:r>
      <w:r w:rsidR="00A20EC2">
        <w:rPr>
          <w:rFonts w:ascii="Ebrima" w:hAnsi="Ebrima" w:cs="Arial"/>
          <w:color w:val="000000" w:themeColor="text1"/>
          <w:sz w:val="20"/>
          <w:szCs w:val="20"/>
        </w:rPr>
        <w:t>3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années ; elle est renouvelable </w:t>
      </w:r>
      <w:r w:rsidR="00A20EC2">
        <w:rPr>
          <w:rFonts w:ascii="Ebrima" w:hAnsi="Ebrima" w:cs="Arial"/>
          <w:color w:val="000000" w:themeColor="text1"/>
          <w:sz w:val="20"/>
          <w:szCs w:val="20"/>
        </w:rPr>
        <w:t xml:space="preserve">une fois pour une durée maximale de 3 ans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dans la limite de </w:t>
      </w:r>
      <w:r w:rsidR="00A20EC2">
        <w:rPr>
          <w:rFonts w:ascii="Ebrima" w:hAnsi="Ebrima" w:cs="Arial"/>
          <w:color w:val="000000" w:themeColor="text1"/>
          <w:sz w:val="20"/>
          <w:szCs w:val="20"/>
        </w:rPr>
        <w:t>six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ans</w:t>
      </w:r>
      <w:bookmarkStart w:id="3" w:name="_GoBack"/>
      <w:bookmarkEnd w:id="3"/>
      <w:r w:rsidR="00A20EC2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A58390" w14:textId="0FB77850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="006E040E" w:rsidRPr="006E040E">
        <w:rPr>
          <w:rFonts w:ascii="Ebrima" w:hAnsi="Ebrima"/>
          <w:bCs/>
          <w:sz w:val="20"/>
          <w:szCs w:val="20"/>
        </w:rPr>
        <w:t>l’agent</w:t>
      </w:r>
      <w:r w:rsidRPr="006E040E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E8DD4BD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440F4CC" w14:textId="277E199C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</w:t>
      </w:r>
      <w:r>
        <w:rPr>
          <w:rFonts w:ascii="Ebrima" w:hAnsi="Ebrima"/>
          <w:bCs/>
          <w:sz w:val="20"/>
          <w:szCs w:val="20"/>
        </w:rPr>
        <w:lastRenderedPageBreak/>
        <w:t xml:space="preserve">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40CA472D" w14:textId="77777777" w:rsidR="006E040E" w:rsidRDefault="006E040E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FC38B5" w14:textId="67AE8894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 w:rsidR="006E040E"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D54067" w14:textId="35833AA0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6E040E" w:rsidRPr="006E040E">
        <w:rPr>
          <w:rFonts w:ascii="Ebrima" w:hAnsi="Ebrima" w:cs="Arial"/>
          <w:color w:val="000000" w:themeColor="text1"/>
          <w:sz w:val="20"/>
          <w:szCs w:val="20"/>
        </w:rPr>
        <w:t>il</w:t>
      </w:r>
      <w:r w:rsidR="00CC42E6" w:rsidRPr="006E040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>’autorité territoriale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>, deux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mois avant le début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cette activité. Le silence gardé par l’autorité territoriale 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 xml:space="preserve">pendant ce délai </w:t>
      </w:r>
      <w:r>
        <w:rPr>
          <w:rFonts w:ascii="Ebrima" w:hAnsi="Ebrima" w:cs="Arial"/>
          <w:color w:val="000000" w:themeColor="text1"/>
          <w:sz w:val="20"/>
          <w:szCs w:val="20"/>
        </w:rPr>
        <w:t>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4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5816907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6494BC43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99C0328" w14:textId="3AB5625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6: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4A558" w14:textId="28C01CEB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75B3C868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0F96DD77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66A56" w14:textId="77777777" w:rsidR="002C4398" w:rsidRDefault="002C4398" w:rsidP="00617C71">
      <w:pPr>
        <w:spacing w:after="0" w:line="240" w:lineRule="auto"/>
      </w:pPr>
      <w:r>
        <w:separator/>
      </w:r>
    </w:p>
  </w:endnote>
  <w:endnote w:type="continuationSeparator" w:id="0">
    <w:p w14:paraId="68CC76EB" w14:textId="77777777" w:rsidR="002C4398" w:rsidRDefault="002C4398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47027" w14:textId="77777777" w:rsidR="002C4398" w:rsidRDefault="002C4398" w:rsidP="00617C71">
      <w:pPr>
        <w:spacing w:after="0" w:line="240" w:lineRule="auto"/>
      </w:pPr>
      <w:r>
        <w:separator/>
      </w:r>
    </w:p>
  </w:footnote>
  <w:footnote w:type="continuationSeparator" w:id="0">
    <w:p w14:paraId="27C800FE" w14:textId="77777777" w:rsidR="002C4398" w:rsidRDefault="002C4398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63B8F554" w14:textId="259442C0" w:rsidR="005E3307" w:rsidRPr="005E3307" w:rsidRDefault="005E3307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A20EC2">
        <w:rPr>
          <w:rFonts w:ascii="Ebrima" w:hAnsi="Ebrima"/>
          <w:i/>
          <w:sz w:val="18"/>
          <w:szCs w:val="18"/>
        </w:rPr>
        <w:t xml:space="preserve">3 </w:t>
      </w:r>
      <w:r w:rsidRPr="005E3307">
        <w:rPr>
          <w:rFonts w:ascii="Ebrima" w:hAnsi="Ebrima"/>
          <w:i/>
          <w:sz w:val="18"/>
          <w:szCs w:val="18"/>
        </w:rPr>
        <w:t>ans au maximum</w:t>
      </w:r>
      <w:r>
        <w:rPr>
          <w:rFonts w:ascii="Ebrima" w:hAnsi="Ebrima"/>
          <w:i/>
          <w:sz w:val="18"/>
          <w:szCs w:val="18"/>
        </w:rPr>
        <w:t xml:space="preserve"> </w:t>
      </w:r>
      <w:r w:rsidR="00A20EC2">
        <w:rPr>
          <w:rFonts w:ascii="Ebrima" w:hAnsi="Ebrima"/>
          <w:i/>
          <w:sz w:val="18"/>
          <w:szCs w:val="18"/>
        </w:rPr>
        <w:t xml:space="preserve">renouvelable 1 fois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21 du décret n°86-68 du 13 janvier 1986</w:t>
      </w:r>
    </w:p>
  </w:footnote>
  <w:footnote w:id="3">
    <w:p w14:paraId="1667D5CE" w14:textId="6E848BB0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</w:t>
      </w:r>
      <w:r w:rsidR="00A20EC2" w:rsidRPr="005E3307">
        <w:rPr>
          <w:rFonts w:ascii="Ebrima" w:hAnsi="Ebrima"/>
          <w:i/>
          <w:sz w:val="18"/>
          <w:szCs w:val="18"/>
        </w:rPr>
        <w:t xml:space="preserve">La durée est de </w:t>
      </w:r>
      <w:r w:rsidR="00A20EC2">
        <w:rPr>
          <w:rFonts w:ascii="Ebrima" w:hAnsi="Ebrima"/>
          <w:i/>
          <w:sz w:val="18"/>
          <w:szCs w:val="18"/>
        </w:rPr>
        <w:t xml:space="preserve">3 </w:t>
      </w:r>
      <w:r w:rsidR="00A20EC2" w:rsidRPr="005E3307">
        <w:rPr>
          <w:rFonts w:ascii="Ebrima" w:hAnsi="Ebrima"/>
          <w:i/>
          <w:sz w:val="18"/>
          <w:szCs w:val="18"/>
        </w:rPr>
        <w:t>ans au maximum</w:t>
      </w:r>
      <w:r w:rsidR="00A20EC2">
        <w:rPr>
          <w:rFonts w:ascii="Ebrima" w:hAnsi="Ebrima"/>
          <w:i/>
          <w:sz w:val="18"/>
          <w:szCs w:val="18"/>
        </w:rPr>
        <w:t xml:space="preserve"> renouvelable 1 fois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21 du décret n°86-68 du 13 janvier 1986</w:t>
      </w:r>
    </w:p>
  </w:footnote>
  <w:footnote w:id="4">
    <w:p w14:paraId="783B5220" w14:textId="4A030931" w:rsidR="009E406F" w:rsidRPr="009E406F" w:rsidRDefault="009E406F" w:rsidP="009E406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C4398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6603C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0EC2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4553-3166-4D1E-AE0A-4C6B4AA4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</TotalTime>
  <Pages>4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convenances personnelles</vt:lpstr>
    </vt:vector>
  </TitlesOfParts>
  <Manager>laurent.gougeon@cdg45.fr</Manager>
  <Company>CDG 45</Company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pour études et recherches</dc:title>
  <dc:subject/>
  <dc:creator>laurent.gougeon@cdg45.fr</dc:creator>
  <cp:keywords>Modèle, arrêté, disponibilité, études, recherches</cp:keywords>
  <dc:description/>
  <cp:lastModifiedBy>Laurent GOUGEON</cp:lastModifiedBy>
  <cp:revision>3</cp:revision>
  <cp:lastPrinted>2020-04-08T06:34:00Z</cp:lastPrinted>
  <dcterms:created xsi:type="dcterms:W3CDTF">2021-06-08T08:14:00Z</dcterms:created>
  <dcterms:modified xsi:type="dcterms:W3CDTF">2021-06-08T08:20:00Z</dcterms:modified>
</cp:coreProperties>
</file>