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rsidR="006545A1" w:rsidRPr="00CB76BD" w:rsidRDefault="00AA0A20" w:rsidP="002B4387">
      <w:pPr>
        <w:jc w:val="center"/>
        <w:rPr>
          <w:rFonts w:ascii="Ebrima" w:hAnsi="Ebrima"/>
          <w:b/>
          <w:sz w:val="28"/>
          <w:szCs w:val="28"/>
        </w:rPr>
      </w:pPr>
      <w:r>
        <w:rPr>
          <w:rFonts w:ascii="Ebrima" w:hAnsi="Ebrima"/>
          <w:b/>
          <w:sz w:val="28"/>
          <w:szCs w:val="28"/>
        </w:rPr>
        <w:t>Instaurant l’indemnité de départ volontaire</w:t>
      </w:r>
    </w:p>
    <w:p w:rsidR="002B4387" w:rsidRPr="00CB76BD" w:rsidRDefault="002B4387" w:rsidP="002B4387">
      <w:pPr>
        <w:jc w:val="both"/>
        <w:rPr>
          <w:rFonts w:ascii="Ebrima" w:hAnsi="Ebrima"/>
          <w:b/>
          <w:sz w:val="20"/>
          <w:szCs w:val="20"/>
        </w:rPr>
      </w:pPr>
    </w:p>
    <w:p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rsidR="002B4387" w:rsidRPr="00CB76BD" w:rsidRDefault="002B4387" w:rsidP="002B4387">
      <w:pPr>
        <w:jc w:val="center"/>
        <w:rPr>
          <w:rFonts w:ascii="Ebrima" w:hAnsi="Ebrima"/>
          <w:b/>
          <w:smallCaps/>
          <w:sz w:val="20"/>
          <w:szCs w:val="20"/>
        </w:rPr>
      </w:pPr>
    </w:p>
    <w:p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rsidR="002B4387" w:rsidRPr="00CB76BD" w:rsidRDefault="002B4387" w:rsidP="002B4387">
      <w:pPr>
        <w:jc w:val="both"/>
        <w:rPr>
          <w:rFonts w:ascii="Ebrima" w:hAnsi="Ebrima"/>
          <w:sz w:val="20"/>
          <w:szCs w:val="20"/>
        </w:rPr>
      </w:pPr>
    </w:p>
    <w:p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rsidR="002B4387" w:rsidRPr="00CB76BD" w:rsidRDefault="002B4387" w:rsidP="002B4387">
      <w:pPr>
        <w:jc w:val="both"/>
        <w:rPr>
          <w:rFonts w:ascii="Ebrima" w:hAnsi="Ebrima"/>
          <w:sz w:val="20"/>
          <w:szCs w:val="20"/>
        </w:rPr>
      </w:pPr>
    </w:p>
    <w:p w:rsidR="002B4387" w:rsidRPr="00CB76BD" w:rsidRDefault="00AA0A20" w:rsidP="002B4387">
      <w:pPr>
        <w:jc w:val="center"/>
        <w:rPr>
          <w:rFonts w:ascii="Ebrima" w:hAnsi="Ebrima"/>
          <w:b/>
          <w:i/>
        </w:rPr>
      </w:pPr>
      <w:r>
        <w:rPr>
          <w:rFonts w:ascii="Ebrima" w:hAnsi="Ebrima"/>
          <w:b/>
        </w:rPr>
        <w:t>Instauration de l’</w:t>
      </w:r>
      <w:r w:rsidR="00024A1A">
        <w:rPr>
          <w:rFonts w:ascii="Ebrima" w:hAnsi="Ebrima"/>
          <w:b/>
        </w:rPr>
        <w:t xml:space="preserve">indemnité de départ </w:t>
      </w:r>
      <w:r>
        <w:rPr>
          <w:rFonts w:ascii="Ebrima" w:hAnsi="Ebrima"/>
          <w:b/>
        </w:rPr>
        <w:t>volontaire</w:t>
      </w:r>
    </w:p>
    <w:p w:rsidR="002B4387" w:rsidRPr="00CB76BD" w:rsidRDefault="002B4387" w:rsidP="002B4387">
      <w:pPr>
        <w:jc w:val="both"/>
        <w:rPr>
          <w:rFonts w:ascii="Ebrima" w:hAnsi="Ebrima"/>
          <w:sz w:val="22"/>
          <w:szCs w:val="22"/>
        </w:rPr>
      </w:pP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rsidR="002B4387" w:rsidRPr="00CB76BD" w:rsidRDefault="002B4387" w:rsidP="002B4387">
      <w:pPr>
        <w:jc w:val="both"/>
        <w:rPr>
          <w:rFonts w:ascii="Ebrima" w:hAnsi="Ebrima" w:cs="Arial"/>
        </w:rPr>
      </w:pPr>
    </w:p>
    <w:p w:rsidR="00024A1A" w:rsidRDefault="002B4387" w:rsidP="00024A1A">
      <w:pPr>
        <w:jc w:val="both"/>
        <w:rPr>
          <w:rFonts w:ascii="Ebrima" w:hAnsi="Ebrima" w:cs="Arial"/>
          <w:sz w:val="20"/>
          <w:szCs w:val="20"/>
        </w:rPr>
      </w:pPr>
      <w:r w:rsidRPr="006545A1">
        <w:rPr>
          <w:rFonts w:ascii="Ebrima" w:hAnsi="Ebrima" w:cs="Arial"/>
          <w:i/>
          <w:sz w:val="20"/>
          <w:szCs w:val="20"/>
        </w:rPr>
        <w:t xml:space="preserve">Monsieur ou Madame Le Maire ou </w:t>
      </w:r>
      <w:proofErr w:type="spellStart"/>
      <w:r w:rsidRPr="006545A1">
        <w:rPr>
          <w:rFonts w:ascii="Ebrima" w:hAnsi="Ebrima" w:cs="Arial"/>
          <w:i/>
          <w:sz w:val="20"/>
          <w:szCs w:val="20"/>
        </w:rPr>
        <w:t>le-la</w:t>
      </w:r>
      <w:proofErr w:type="spellEnd"/>
      <w:r w:rsidRPr="006545A1">
        <w:rPr>
          <w:rFonts w:ascii="Ebrima" w:hAnsi="Ebrima" w:cs="Arial"/>
          <w:i/>
          <w:sz w:val="20"/>
          <w:szCs w:val="20"/>
        </w:rPr>
        <w:t xml:space="preserve"> Président/Présidente</w:t>
      </w:r>
      <w:r w:rsidRPr="006545A1">
        <w:rPr>
          <w:rFonts w:ascii="Ebrima" w:hAnsi="Ebrima" w:cs="Arial"/>
          <w:sz w:val="20"/>
          <w:szCs w:val="20"/>
        </w:rPr>
        <w:t xml:space="preserve"> expose </w:t>
      </w:r>
      <w:r w:rsidR="00024A1A">
        <w:rPr>
          <w:rFonts w:ascii="Ebrima" w:hAnsi="Ebrima" w:cs="Arial"/>
          <w:sz w:val="20"/>
          <w:szCs w:val="20"/>
        </w:rPr>
        <w:t>que c</w:t>
      </w:r>
      <w:r w:rsidR="00024A1A" w:rsidRPr="00024A1A">
        <w:rPr>
          <w:rFonts w:ascii="Ebrima" w:hAnsi="Ebrima" w:cs="Arial"/>
          <w:sz w:val="20"/>
          <w:szCs w:val="20"/>
        </w:rPr>
        <w:t xml:space="preserve">onformément au décret n°2009-1594 du 18 décembre 2009, une indemnité de départ volontaire peut être attribuée aux fonctionnaires qui quittent définitivement la fonction publique territoriale à la suite d’une démission régulièrement acceptée en application de l’article </w:t>
      </w:r>
      <w:r w:rsidR="00024A1A">
        <w:rPr>
          <w:rFonts w:ascii="Ebrima" w:hAnsi="Ebrima" w:cs="Arial"/>
          <w:sz w:val="20"/>
          <w:szCs w:val="20"/>
        </w:rPr>
        <w:t>L.</w:t>
      </w:r>
      <w:r w:rsidR="00A80D16">
        <w:rPr>
          <w:rFonts w:ascii="Ebrima" w:hAnsi="Ebrima" w:cs="Arial"/>
          <w:sz w:val="20"/>
          <w:szCs w:val="20"/>
        </w:rPr>
        <w:t>551-1</w:t>
      </w:r>
      <w:r w:rsidR="00024A1A">
        <w:rPr>
          <w:rFonts w:ascii="Ebrima" w:hAnsi="Ebrima" w:cs="Arial"/>
          <w:sz w:val="20"/>
          <w:szCs w:val="20"/>
        </w:rPr>
        <w:t xml:space="preserve"> du Code général de la fonction publique</w:t>
      </w:r>
      <w:r w:rsidR="00024A1A" w:rsidRPr="00024A1A">
        <w:rPr>
          <w:rFonts w:ascii="Ebrima" w:hAnsi="Ebrima" w:cs="Arial"/>
          <w:sz w:val="20"/>
          <w:szCs w:val="20"/>
        </w:rPr>
        <w:t xml:space="preserve"> et aux contractuels de droit public recrutés pour une durée indéterminée qui démissionnent dans les conditions fixées par </w:t>
      </w:r>
      <w:r w:rsidR="00DD4ED2">
        <w:rPr>
          <w:rFonts w:ascii="Ebrima" w:hAnsi="Ebrima" w:cs="Arial"/>
          <w:sz w:val="20"/>
          <w:szCs w:val="20"/>
        </w:rPr>
        <w:t xml:space="preserve">l’article 39 du </w:t>
      </w:r>
      <w:r w:rsidR="00024A1A" w:rsidRPr="00024A1A">
        <w:rPr>
          <w:rFonts w:ascii="Ebrima" w:hAnsi="Ebrima" w:cs="Arial"/>
          <w:sz w:val="20"/>
          <w:szCs w:val="20"/>
        </w:rPr>
        <w:t>décret</w:t>
      </w:r>
      <w:r w:rsidR="00024A1A">
        <w:rPr>
          <w:rFonts w:ascii="Ebrima" w:hAnsi="Ebrima" w:cs="Arial"/>
          <w:sz w:val="20"/>
          <w:szCs w:val="20"/>
        </w:rPr>
        <w:t xml:space="preserve"> </w:t>
      </w:r>
      <w:r w:rsidR="00024A1A" w:rsidRPr="00024A1A">
        <w:rPr>
          <w:rFonts w:ascii="Ebrima" w:hAnsi="Ebrima" w:cs="Arial"/>
          <w:sz w:val="20"/>
          <w:szCs w:val="20"/>
        </w:rPr>
        <w:t>n°88-145 du 15 février 1988</w:t>
      </w:r>
      <w:r w:rsidR="00A80D16">
        <w:rPr>
          <w:rFonts w:ascii="Ebrima" w:hAnsi="Ebrima" w:cs="Arial"/>
          <w:sz w:val="20"/>
          <w:szCs w:val="20"/>
        </w:rPr>
        <w:t xml:space="preserve">. Pour les fonctionnaires comme pour les contractuels, la démission doit être </w:t>
      </w:r>
      <w:r w:rsidR="00703846">
        <w:rPr>
          <w:rFonts w:ascii="Ebrima" w:hAnsi="Ebrima" w:cs="Arial"/>
          <w:sz w:val="20"/>
          <w:szCs w:val="20"/>
        </w:rPr>
        <w:t xml:space="preserve">uniquement </w:t>
      </w:r>
      <w:r w:rsidR="00A80D16">
        <w:rPr>
          <w:rFonts w:ascii="Ebrima" w:hAnsi="Ebrima" w:cs="Arial"/>
          <w:sz w:val="20"/>
          <w:szCs w:val="20"/>
        </w:rPr>
        <w:t xml:space="preserve">consécutive à une </w:t>
      </w:r>
      <w:r w:rsidR="00024A1A" w:rsidRPr="00024A1A">
        <w:rPr>
          <w:rFonts w:ascii="Ebrima" w:hAnsi="Ebrima" w:cs="Arial"/>
          <w:sz w:val="20"/>
          <w:szCs w:val="20"/>
        </w:rPr>
        <w:t>restructuration</w:t>
      </w:r>
      <w:r w:rsidR="00A80D16">
        <w:rPr>
          <w:rFonts w:ascii="Ebrima" w:hAnsi="Ebrima" w:cs="Arial"/>
          <w:sz w:val="20"/>
          <w:szCs w:val="20"/>
        </w:rPr>
        <w:t xml:space="preserve"> du poste de l’agent</w:t>
      </w:r>
      <w:r w:rsidR="00024A1A" w:rsidRPr="00024A1A">
        <w:rPr>
          <w:rFonts w:ascii="Ebrima" w:hAnsi="Ebrima" w:cs="Arial"/>
          <w:sz w:val="20"/>
          <w:szCs w:val="20"/>
        </w:rPr>
        <w:t xml:space="preserve"> dans le cadre d’une opération de réorganisation d</w:t>
      </w:r>
      <w:r w:rsidR="00A80D16">
        <w:rPr>
          <w:rFonts w:ascii="Ebrima" w:hAnsi="Ebrima" w:cs="Arial"/>
          <w:sz w:val="20"/>
          <w:szCs w:val="20"/>
        </w:rPr>
        <w:t>e</w:t>
      </w:r>
      <w:r w:rsidR="00024A1A" w:rsidRPr="00024A1A">
        <w:rPr>
          <w:rFonts w:ascii="Ebrima" w:hAnsi="Ebrima" w:cs="Arial"/>
          <w:sz w:val="20"/>
          <w:szCs w:val="20"/>
        </w:rPr>
        <w:t xml:space="preserve"> service.</w:t>
      </w:r>
    </w:p>
    <w:p w:rsidR="00703846" w:rsidRDefault="00703846" w:rsidP="00024A1A">
      <w:pPr>
        <w:jc w:val="both"/>
        <w:rPr>
          <w:rFonts w:ascii="Ebrima" w:hAnsi="Ebrima" w:cs="Arial"/>
          <w:sz w:val="20"/>
          <w:szCs w:val="20"/>
        </w:rPr>
      </w:pPr>
    </w:p>
    <w:p w:rsidR="00703846" w:rsidRDefault="00703846" w:rsidP="00024A1A">
      <w:pPr>
        <w:jc w:val="both"/>
        <w:rPr>
          <w:rFonts w:ascii="Ebrima" w:hAnsi="Ebrima" w:cs="Arial"/>
          <w:sz w:val="20"/>
          <w:szCs w:val="20"/>
        </w:rPr>
      </w:pPr>
      <w:r>
        <w:rPr>
          <w:rFonts w:ascii="Ebrima" w:hAnsi="Ebrima" w:cs="Arial"/>
          <w:sz w:val="20"/>
          <w:szCs w:val="20"/>
        </w:rPr>
        <w:t>Dans le secteur public territorial, l’indemnité n’est pas de droit. En application du principe de libre administration des collectivités territoriales, son instauration nécessite une délibération préalable du conseil après avis du comité social territorial.</w:t>
      </w:r>
    </w:p>
    <w:p w:rsidR="00703846" w:rsidRDefault="00703846" w:rsidP="00024A1A">
      <w:pPr>
        <w:jc w:val="both"/>
        <w:rPr>
          <w:rFonts w:ascii="Ebrima" w:hAnsi="Ebrima" w:cs="Arial"/>
          <w:sz w:val="20"/>
          <w:szCs w:val="20"/>
        </w:rPr>
      </w:pPr>
    </w:p>
    <w:p w:rsidR="00F10CC3" w:rsidRDefault="00F10CC3" w:rsidP="00703846">
      <w:pPr>
        <w:jc w:val="both"/>
        <w:rPr>
          <w:rFonts w:ascii="Ebrima" w:hAnsi="Ebrima" w:cs="Arial"/>
          <w:sz w:val="20"/>
          <w:szCs w:val="20"/>
        </w:rPr>
      </w:pPr>
    </w:p>
    <w:p w:rsidR="00F10CC3" w:rsidRDefault="00F10CC3" w:rsidP="00703846">
      <w:pPr>
        <w:jc w:val="both"/>
        <w:rPr>
          <w:rFonts w:ascii="Ebrima" w:eastAsia="Calibri" w:hAnsi="Ebrima"/>
          <w:bCs/>
          <w:i/>
          <w:sz w:val="20"/>
          <w:szCs w:val="20"/>
          <w:lang w:eastAsia="en-US"/>
        </w:rPr>
      </w:pPr>
      <w:r>
        <w:rPr>
          <w:rFonts w:ascii="Ebrima" w:hAnsi="Ebrima" w:cs="Arial"/>
          <w:sz w:val="20"/>
          <w:szCs w:val="20"/>
        </w:rPr>
        <w:t xml:space="preserve">La délibération, doit, en premier lieu déterminer les services, les cadres d’emplois et les grades concernés. En l’espèce, pour </w:t>
      </w:r>
      <w:r w:rsidRPr="00705C1A">
        <w:rPr>
          <w:rFonts w:ascii="Ebrima" w:eastAsia="Calibri" w:hAnsi="Ebrima"/>
          <w:bCs/>
          <w:i/>
          <w:sz w:val="20"/>
          <w:szCs w:val="20"/>
          <w:lang w:eastAsia="en-US"/>
        </w:rPr>
        <w:t>le-la-l’</w:t>
      </w:r>
      <w:r w:rsidRPr="00705C1A">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F10CC3">
        <w:rPr>
          <w:rFonts w:ascii="Ebrima" w:eastAsia="Calibri" w:hAnsi="Ebrima"/>
          <w:bCs/>
          <w:i/>
          <w:sz w:val="20"/>
          <w:szCs w:val="20"/>
          <w:lang w:eastAsia="en-US"/>
        </w:rPr>
        <w:t>(</w:t>
      </w:r>
      <w:proofErr w:type="gramStart"/>
      <w:r w:rsidRPr="00705C1A">
        <w:rPr>
          <w:rFonts w:ascii="Ebrima" w:eastAsia="Calibri" w:hAnsi="Ebrima"/>
          <w:bCs/>
          <w:i/>
          <w:sz w:val="20"/>
          <w:szCs w:val="20"/>
          <w:lang w:eastAsia="en-US"/>
        </w:rPr>
        <w:t>dénomination</w:t>
      </w:r>
      <w:proofErr w:type="gramEnd"/>
      <w:r w:rsidRPr="00705C1A">
        <w:rPr>
          <w:rFonts w:ascii="Ebrima" w:eastAsia="Calibri" w:hAnsi="Ebrima"/>
          <w:bCs/>
          <w:i/>
          <w:sz w:val="20"/>
          <w:szCs w:val="20"/>
          <w:lang w:eastAsia="en-US"/>
        </w:rPr>
        <w:t xml:space="preserve"> de la collectivité ou l’établissement)</w:t>
      </w:r>
      <w:r>
        <w:rPr>
          <w:rFonts w:ascii="Ebrima" w:eastAsia="Calibri" w:hAnsi="Ebrima"/>
          <w:bCs/>
          <w:i/>
          <w:sz w:val="20"/>
          <w:szCs w:val="20"/>
          <w:lang w:eastAsia="en-US"/>
        </w:rPr>
        <w:t xml:space="preserve">, </w:t>
      </w:r>
      <w:r w:rsidRPr="00F10CC3">
        <w:rPr>
          <w:rFonts w:ascii="Ebrima" w:eastAsia="Calibri" w:hAnsi="Ebrima"/>
          <w:bCs/>
          <w:sz w:val="20"/>
          <w:szCs w:val="20"/>
          <w:lang w:eastAsia="en-US"/>
        </w:rPr>
        <w:t>cela s’appliquera à</w:t>
      </w:r>
      <w:r>
        <w:rPr>
          <w:rFonts w:ascii="Ebrima" w:eastAsia="Calibri" w:hAnsi="Ebrima"/>
          <w:bCs/>
          <w:i/>
          <w:sz w:val="20"/>
          <w:szCs w:val="20"/>
          <w:lang w:eastAsia="en-US"/>
        </w:rPr>
        <w:t> :</w:t>
      </w:r>
    </w:p>
    <w:p w:rsidR="00F10CC3" w:rsidRDefault="00F10CC3" w:rsidP="00703846">
      <w:pPr>
        <w:jc w:val="both"/>
        <w:rPr>
          <w:rFonts w:ascii="Ebrima" w:eastAsia="Calibri" w:hAnsi="Ebrima"/>
          <w:bCs/>
          <w:i/>
          <w:sz w:val="20"/>
          <w:szCs w:val="20"/>
          <w:lang w:eastAsia="en-US"/>
        </w:rPr>
      </w:pPr>
    </w:p>
    <w:p w:rsidR="00F10CC3" w:rsidRPr="00F10CC3" w:rsidRDefault="00F10CC3" w:rsidP="00F10CC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Service(s)</w:t>
      </w:r>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F10CC3" w:rsidRPr="00F10CC3" w:rsidRDefault="00F10CC3" w:rsidP="00F10CC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 xml:space="preserve">Cadre(s) </w:t>
      </w:r>
      <w:proofErr w:type="spellStart"/>
      <w:r w:rsidRPr="00F10CC3">
        <w:rPr>
          <w:rFonts w:ascii="Ebrima" w:eastAsia="Calibri" w:hAnsi="Ebrima"/>
          <w:bCs/>
          <w:i/>
          <w:sz w:val="20"/>
          <w:szCs w:val="20"/>
          <w:lang w:val="en-US" w:eastAsia="en-US"/>
        </w:rPr>
        <w:t>d’emplois</w:t>
      </w:r>
      <w:proofErr w:type="spellEnd"/>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F10CC3" w:rsidRPr="00F10CC3" w:rsidRDefault="00F10CC3" w:rsidP="00F10CC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Grade(s)</w:t>
      </w:r>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F10CC3" w:rsidRPr="00F10CC3" w:rsidRDefault="00F10CC3" w:rsidP="00703846">
      <w:pPr>
        <w:jc w:val="both"/>
        <w:rPr>
          <w:rFonts w:ascii="Ebrima" w:hAnsi="Ebrima" w:cs="Arial"/>
          <w:sz w:val="20"/>
          <w:szCs w:val="20"/>
          <w:lang w:val="en-US"/>
        </w:rPr>
      </w:pPr>
    </w:p>
    <w:p w:rsidR="00703846" w:rsidRDefault="00703846" w:rsidP="00703846">
      <w:pPr>
        <w:jc w:val="both"/>
        <w:rPr>
          <w:rFonts w:ascii="Ebrima" w:hAnsi="Ebrima" w:cs="Arial"/>
          <w:sz w:val="20"/>
          <w:szCs w:val="20"/>
        </w:rPr>
      </w:pPr>
      <w:r>
        <w:rPr>
          <w:rFonts w:ascii="Ebrima" w:hAnsi="Ebrima" w:cs="Arial"/>
          <w:sz w:val="20"/>
          <w:szCs w:val="20"/>
        </w:rPr>
        <w:t>Elle bénéficie à t</w:t>
      </w:r>
      <w:r w:rsidRPr="00703846">
        <w:rPr>
          <w:rFonts w:ascii="Ebrima" w:hAnsi="Ebrima" w:cs="Arial"/>
          <w:sz w:val="20"/>
          <w:szCs w:val="20"/>
        </w:rPr>
        <w:t>ous les fonctionnaires et contractuels de droit public recrutés pour une durée indéterminée.</w:t>
      </w:r>
      <w:r>
        <w:rPr>
          <w:rFonts w:ascii="Ebrima" w:hAnsi="Ebrima" w:cs="Arial"/>
          <w:sz w:val="20"/>
          <w:szCs w:val="20"/>
        </w:rPr>
        <w:t xml:space="preserve"> A l’inverse, en sont exclus</w:t>
      </w:r>
      <w:r w:rsidRPr="00703846">
        <w:rPr>
          <w:rFonts w:ascii="Ebrima" w:hAnsi="Ebrima" w:cs="Arial"/>
          <w:sz w:val="20"/>
          <w:szCs w:val="20"/>
        </w:rPr>
        <w:t xml:space="preserve"> : </w:t>
      </w:r>
    </w:p>
    <w:p w:rsidR="00DD4ED2" w:rsidRPr="00703846" w:rsidRDefault="00DD4ED2" w:rsidP="00703846">
      <w:pPr>
        <w:jc w:val="both"/>
        <w:rPr>
          <w:rFonts w:ascii="Ebrima" w:hAnsi="Ebrima" w:cs="Arial"/>
          <w:sz w:val="20"/>
          <w:szCs w:val="20"/>
        </w:rPr>
      </w:pPr>
    </w:p>
    <w:p w:rsidR="00703846" w:rsidRPr="00703846" w:rsidRDefault="00DD4ED2" w:rsidP="00DD4ED2">
      <w:pPr>
        <w:numPr>
          <w:ilvl w:val="0"/>
          <w:numId w:val="15"/>
        </w:numPr>
        <w:jc w:val="both"/>
        <w:rPr>
          <w:rFonts w:ascii="Ebrima" w:hAnsi="Ebrima" w:cs="Arial"/>
          <w:sz w:val="20"/>
          <w:szCs w:val="20"/>
        </w:rPr>
      </w:pPr>
      <w:r w:rsidRPr="00703846">
        <w:rPr>
          <w:rFonts w:ascii="Ebrima" w:hAnsi="Ebrima" w:cs="Arial"/>
          <w:sz w:val="20"/>
          <w:szCs w:val="20"/>
        </w:rPr>
        <w:t xml:space="preserve">Les </w:t>
      </w:r>
      <w:r w:rsidR="00703846" w:rsidRPr="00703846">
        <w:rPr>
          <w:rFonts w:ascii="Ebrima" w:hAnsi="Ebrima" w:cs="Arial"/>
          <w:sz w:val="20"/>
          <w:szCs w:val="20"/>
        </w:rPr>
        <w:t xml:space="preserve">agents </w:t>
      </w:r>
      <w:r>
        <w:rPr>
          <w:rFonts w:ascii="Ebrima" w:hAnsi="Ebrima" w:cs="Arial"/>
          <w:sz w:val="20"/>
          <w:szCs w:val="20"/>
        </w:rPr>
        <w:t xml:space="preserve">de droit public (fonctionnaires ou contractuels en CDI) </w:t>
      </w:r>
      <w:r w:rsidR="00703846" w:rsidRPr="00703846">
        <w:rPr>
          <w:rFonts w:ascii="Ebrima" w:hAnsi="Ebrima" w:cs="Arial"/>
          <w:sz w:val="20"/>
          <w:szCs w:val="20"/>
        </w:rPr>
        <w:t>ayant effectivement démissionné moins de cinq ans avant la date d'ouverture de leurs droits à pension</w:t>
      </w:r>
    </w:p>
    <w:p w:rsidR="00703846" w:rsidRPr="00703846" w:rsidRDefault="00DD4ED2" w:rsidP="00DD4ED2">
      <w:pPr>
        <w:numPr>
          <w:ilvl w:val="0"/>
          <w:numId w:val="15"/>
        </w:numPr>
        <w:jc w:val="both"/>
        <w:rPr>
          <w:rFonts w:ascii="Ebrima" w:hAnsi="Ebrima" w:cs="Arial"/>
          <w:sz w:val="20"/>
          <w:szCs w:val="20"/>
        </w:rPr>
      </w:pPr>
      <w:r w:rsidRPr="00703846">
        <w:rPr>
          <w:rFonts w:ascii="Ebrima" w:hAnsi="Ebrima" w:cs="Arial"/>
          <w:sz w:val="20"/>
          <w:szCs w:val="20"/>
        </w:rPr>
        <w:t xml:space="preserve">Les </w:t>
      </w:r>
      <w:r w:rsidR="00703846" w:rsidRPr="00703846">
        <w:rPr>
          <w:rFonts w:ascii="Ebrima" w:hAnsi="Ebrima" w:cs="Arial"/>
          <w:sz w:val="20"/>
          <w:szCs w:val="20"/>
        </w:rPr>
        <w:t xml:space="preserve">agents </w:t>
      </w:r>
      <w:r>
        <w:rPr>
          <w:rFonts w:ascii="Ebrima" w:hAnsi="Ebrima" w:cs="Arial"/>
          <w:sz w:val="20"/>
          <w:szCs w:val="20"/>
        </w:rPr>
        <w:t xml:space="preserve">contractuels </w:t>
      </w:r>
      <w:r w:rsidR="00703846" w:rsidRPr="00703846">
        <w:rPr>
          <w:rFonts w:ascii="Ebrima" w:hAnsi="Ebrima" w:cs="Arial"/>
          <w:sz w:val="20"/>
          <w:szCs w:val="20"/>
        </w:rPr>
        <w:t>de droit privé</w:t>
      </w:r>
      <w:r>
        <w:rPr>
          <w:rFonts w:ascii="Ebrima" w:hAnsi="Ebrima" w:cs="Arial"/>
          <w:sz w:val="20"/>
          <w:szCs w:val="20"/>
        </w:rPr>
        <w:t xml:space="preserve"> (ex : apprentis)</w:t>
      </w:r>
    </w:p>
    <w:p w:rsidR="00703846" w:rsidRPr="00703846" w:rsidRDefault="00DD4ED2" w:rsidP="00DD4ED2">
      <w:pPr>
        <w:numPr>
          <w:ilvl w:val="0"/>
          <w:numId w:val="15"/>
        </w:numPr>
        <w:jc w:val="both"/>
        <w:rPr>
          <w:rFonts w:ascii="Ebrima" w:hAnsi="Ebrima" w:cs="Arial"/>
          <w:sz w:val="20"/>
          <w:szCs w:val="20"/>
        </w:rPr>
      </w:pPr>
      <w:r w:rsidRPr="00703846">
        <w:rPr>
          <w:rFonts w:ascii="Ebrima" w:hAnsi="Ebrima" w:cs="Arial"/>
          <w:sz w:val="20"/>
          <w:szCs w:val="20"/>
        </w:rPr>
        <w:t xml:space="preserve">Les </w:t>
      </w:r>
      <w:r w:rsidR="00703846" w:rsidRPr="00703846">
        <w:rPr>
          <w:rFonts w:ascii="Ebrima" w:hAnsi="Ebrima" w:cs="Arial"/>
          <w:sz w:val="20"/>
          <w:szCs w:val="20"/>
        </w:rPr>
        <w:t>agents contractuels</w:t>
      </w:r>
      <w:r>
        <w:rPr>
          <w:rFonts w:ascii="Ebrima" w:hAnsi="Ebrima" w:cs="Arial"/>
          <w:sz w:val="20"/>
          <w:szCs w:val="20"/>
        </w:rPr>
        <w:t xml:space="preserve"> de droit public</w:t>
      </w:r>
      <w:r w:rsidR="00703846" w:rsidRPr="00703846">
        <w:rPr>
          <w:rFonts w:ascii="Ebrima" w:hAnsi="Ebrima" w:cs="Arial"/>
          <w:sz w:val="20"/>
          <w:szCs w:val="20"/>
        </w:rPr>
        <w:t xml:space="preserve"> bénéficiant d’un contrat à durée déterminée</w:t>
      </w:r>
      <w:r>
        <w:rPr>
          <w:rFonts w:ascii="Ebrima" w:hAnsi="Ebrima" w:cs="Arial"/>
          <w:sz w:val="20"/>
          <w:szCs w:val="20"/>
        </w:rPr>
        <w:t xml:space="preserve"> (CDD)</w:t>
      </w:r>
    </w:p>
    <w:p w:rsidR="00DD4ED2" w:rsidRDefault="00DD4ED2" w:rsidP="006545A1">
      <w:pPr>
        <w:pStyle w:val="loose"/>
        <w:spacing w:before="0" w:beforeAutospacing="0" w:after="0" w:afterAutospacing="0"/>
        <w:jc w:val="both"/>
        <w:rPr>
          <w:rFonts w:ascii="Ebrima" w:eastAsia="Calibri" w:hAnsi="Ebrima"/>
          <w:bCs/>
          <w:sz w:val="20"/>
          <w:szCs w:val="20"/>
          <w:lang w:eastAsia="en-US"/>
        </w:rPr>
      </w:pPr>
    </w:p>
    <w:p w:rsidR="00DD4ED2" w:rsidRDefault="00C32AA6" w:rsidP="006545A1">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La perception d’une indemnité de départ volontaire</w:t>
      </w:r>
      <w:r w:rsidR="00DD4ED2">
        <w:rPr>
          <w:rFonts w:ascii="Ebrima" w:eastAsia="Calibri" w:hAnsi="Ebrima"/>
          <w:bCs/>
          <w:sz w:val="20"/>
          <w:szCs w:val="20"/>
          <w:lang w:eastAsia="en-US"/>
        </w:rPr>
        <w:t xml:space="preserve"> impliqu</w:t>
      </w:r>
      <w:r w:rsidR="00650F3C">
        <w:rPr>
          <w:rFonts w:ascii="Ebrima" w:eastAsia="Calibri" w:hAnsi="Ebrima"/>
          <w:bCs/>
          <w:sz w:val="20"/>
          <w:szCs w:val="20"/>
          <w:lang w:eastAsia="en-US"/>
        </w:rPr>
        <w:t xml:space="preserve">e </w:t>
      </w:r>
      <w:r>
        <w:rPr>
          <w:rFonts w:ascii="Ebrima" w:eastAsia="Calibri" w:hAnsi="Ebrima"/>
          <w:bCs/>
          <w:sz w:val="20"/>
          <w:szCs w:val="20"/>
          <w:lang w:eastAsia="en-US"/>
        </w:rPr>
        <w:t xml:space="preserve">préalablement </w:t>
      </w:r>
      <w:r w:rsidR="00650F3C">
        <w:rPr>
          <w:rFonts w:ascii="Ebrima" w:eastAsia="Calibri" w:hAnsi="Ebrima"/>
          <w:bCs/>
          <w:sz w:val="20"/>
          <w:szCs w:val="20"/>
          <w:lang w:eastAsia="en-US"/>
        </w:rPr>
        <w:t xml:space="preserve">une demande écrite </w:t>
      </w:r>
      <w:r w:rsidR="00E71161">
        <w:rPr>
          <w:rFonts w:ascii="Ebrima" w:eastAsia="Calibri" w:hAnsi="Ebrima"/>
          <w:bCs/>
          <w:sz w:val="20"/>
          <w:szCs w:val="20"/>
          <w:lang w:eastAsia="en-US"/>
        </w:rPr>
        <w:t xml:space="preserve">motivée </w:t>
      </w:r>
      <w:r w:rsidR="00650F3C">
        <w:rPr>
          <w:rFonts w:ascii="Ebrima" w:eastAsia="Calibri" w:hAnsi="Ebrima"/>
          <w:bCs/>
          <w:sz w:val="20"/>
          <w:szCs w:val="20"/>
          <w:lang w:eastAsia="en-US"/>
        </w:rPr>
        <w:t xml:space="preserve">de l’agent qui doit être adressée à l’autorité territoriale dans un délai de </w:t>
      </w:r>
      <w:r w:rsidR="00650F3C" w:rsidRPr="00650F3C">
        <w:rPr>
          <w:rFonts w:ascii="Ebrima" w:eastAsia="Calibri" w:hAnsi="Ebrima"/>
          <w:bCs/>
          <w:sz w:val="20"/>
          <w:szCs w:val="20"/>
          <w:highlight w:val="yellow"/>
          <w:lang w:eastAsia="en-US"/>
        </w:rPr>
        <w:t>…</w:t>
      </w:r>
      <w:r w:rsidR="00650F3C">
        <w:rPr>
          <w:rFonts w:ascii="Ebrima" w:eastAsia="Calibri" w:hAnsi="Ebrima"/>
          <w:bCs/>
          <w:sz w:val="20"/>
          <w:szCs w:val="20"/>
          <w:lang w:eastAsia="en-US"/>
        </w:rPr>
        <w:t xml:space="preserve"> </w:t>
      </w:r>
      <w:r w:rsidR="00650F3C" w:rsidRPr="00650F3C">
        <w:rPr>
          <w:rFonts w:ascii="Ebrima" w:eastAsia="Calibri" w:hAnsi="Ebrima"/>
          <w:bCs/>
          <w:i/>
          <w:sz w:val="20"/>
          <w:szCs w:val="20"/>
          <w:lang w:eastAsia="en-US"/>
        </w:rPr>
        <w:t>(nombre de semaines ou mois à définir)</w:t>
      </w:r>
      <w:r w:rsidR="00650F3C">
        <w:rPr>
          <w:rFonts w:eastAsia="Calibri"/>
        </w:rPr>
        <w:t xml:space="preserve"> </w:t>
      </w:r>
      <w:r w:rsidR="00650F3C" w:rsidRPr="00650F3C">
        <w:rPr>
          <w:rFonts w:ascii="Ebrima" w:eastAsia="Calibri" w:hAnsi="Ebrima"/>
          <w:sz w:val="20"/>
          <w:szCs w:val="20"/>
        </w:rPr>
        <w:t>avant la date</w:t>
      </w:r>
      <w:r w:rsidR="00650F3C">
        <w:rPr>
          <w:rFonts w:ascii="Ebrima" w:eastAsia="Calibri" w:hAnsi="Ebrima"/>
          <w:sz w:val="20"/>
          <w:szCs w:val="20"/>
        </w:rPr>
        <w:t xml:space="preserve"> de démission </w:t>
      </w:r>
      <w:r w:rsidR="00E71161">
        <w:rPr>
          <w:rFonts w:ascii="Ebrima" w:eastAsia="Calibri" w:hAnsi="Ebrima"/>
          <w:sz w:val="20"/>
          <w:szCs w:val="20"/>
        </w:rPr>
        <w:t>envisagée</w:t>
      </w:r>
      <w:r>
        <w:rPr>
          <w:rFonts w:ascii="Ebrima" w:eastAsia="Calibri" w:hAnsi="Ebrima"/>
          <w:sz w:val="20"/>
          <w:szCs w:val="20"/>
        </w:rPr>
        <w:t xml:space="preserve"> par l’agent</w:t>
      </w:r>
      <w:r w:rsidR="00650F3C">
        <w:rPr>
          <w:rFonts w:ascii="Ebrima" w:eastAsia="Calibri" w:hAnsi="Ebrima"/>
          <w:sz w:val="20"/>
          <w:szCs w:val="20"/>
        </w:rPr>
        <w:t>.</w:t>
      </w:r>
      <w:r w:rsidR="006A7901">
        <w:rPr>
          <w:rFonts w:ascii="Ebrima" w:eastAsia="Calibri" w:hAnsi="Ebrima"/>
          <w:sz w:val="20"/>
          <w:szCs w:val="20"/>
        </w:rPr>
        <w:t xml:space="preserve"> Dans l’hypothèse d’une création ou reprise d’entreprise, l’agent devra </w:t>
      </w:r>
      <w:r w:rsidR="00F10CC3">
        <w:rPr>
          <w:rFonts w:ascii="Ebrima" w:eastAsia="Calibri" w:hAnsi="Ebrima"/>
          <w:sz w:val="20"/>
          <w:szCs w:val="20"/>
        </w:rPr>
        <w:t xml:space="preserve">se conformer aux règles </w:t>
      </w:r>
      <w:r w:rsidR="00F10CC3" w:rsidRPr="004C537E">
        <w:rPr>
          <w:rFonts w:ascii="Ebrima" w:eastAsia="Calibri" w:hAnsi="Ebrima"/>
          <w:sz w:val="20"/>
          <w:szCs w:val="20"/>
        </w:rPr>
        <w:t xml:space="preserve">fixées à l’article </w:t>
      </w:r>
      <w:r w:rsidR="004C537E" w:rsidRPr="004C537E">
        <w:rPr>
          <w:rFonts w:ascii="Ebrima" w:eastAsia="Calibri" w:hAnsi="Ebrima"/>
          <w:sz w:val="20"/>
          <w:szCs w:val="20"/>
        </w:rPr>
        <w:t>L.124-4 du Code</w:t>
      </w:r>
      <w:r w:rsidR="00417C20">
        <w:rPr>
          <w:rFonts w:ascii="Ebrima" w:eastAsia="Calibri" w:hAnsi="Ebrima"/>
          <w:sz w:val="20"/>
          <w:szCs w:val="20"/>
        </w:rPr>
        <w:t xml:space="preserve"> général</w:t>
      </w:r>
      <w:r w:rsidR="004C537E" w:rsidRPr="004C537E">
        <w:rPr>
          <w:rFonts w:ascii="Ebrima" w:eastAsia="Calibri" w:hAnsi="Ebrima"/>
          <w:sz w:val="20"/>
          <w:szCs w:val="20"/>
        </w:rPr>
        <w:t xml:space="preserve"> de la fonction publique </w:t>
      </w:r>
      <w:r w:rsidR="00F10CC3">
        <w:rPr>
          <w:rFonts w:ascii="Ebrima" w:eastAsia="Calibri" w:hAnsi="Ebrima"/>
          <w:sz w:val="20"/>
          <w:szCs w:val="20"/>
        </w:rPr>
        <w:t xml:space="preserve">sur la compatibilité de son activité avec ses activités antérieures au sein de la </w:t>
      </w:r>
      <w:r w:rsidR="00F10CC3" w:rsidRPr="00F10CC3">
        <w:rPr>
          <w:rFonts w:ascii="Ebrima" w:eastAsia="Calibri" w:hAnsi="Ebrima"/>
          <w:i/>
          <w:sz w:val="20"/>
          <w:szCs w:val="20"/>
        </w:rPr>
        <w:t>collectivité ou l’établissement</w:t>
      </w:r>
      <w:r w:rsidR="00F10CC3">
        <w:rPr>
          <w:rFonts w:ascii="Ebrima" w:eastAsia="Calibri" w:hAnsi="Ebrima"/>
          <w:sz w:val="20"/>
          <w:szCs w:val="20"/>
        </w:rPr>
        <w:t>.</w:t>
      </w:r>
      <w:r w:rsidR="006A7901">
        <w:rPr>
          <w:rFonts w:ascii="Ebrima" w:eastAsia="Calibri" w:hAnsi="Ebrima"/>
          <w:sz w:val="20"/>
          <w:szCs w:val="20"/>
        </w:rPr>
        <w:t xml:space="preserve"> </w:t>
      </w:r>
    </w:p>
    <w:p w:rsidR="00705C1A" w:rsidRDefault="00705C1A" w:rsidP="006545A1">
      <w:pPr>
        <w:pStyle w:val="loose"/>
        <w:spacing w:before="0" w:beforeAutospacing="0" w:after="0" w:afterAutospacing="0"/>
        <w:jc w:val="both"/>
        <w:rPr>
          <w:rFonts w:ascii="Ebrima" w:eastAsia="Calibri" w:hAnsi="Ebrima"/>
          <w:bCs/>
          <w:sz w:val="20"/>
          <w:szCs w:val="20"/>
          <w:lang w:eastAsia="en-US"/>
        </w:rPr>
      </w:pPr>
    </w:p>
    <w:p w:rsidR="00650F3C" w:rsidRDefault="00E71161" w:rsidP="00650F3C">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L’autorité territoriale informe l’agent de sa décision et s</w:t>
      </w:r>
      <w:r>
        <w:rPr>
          <w:rFonts w:ascii="Ebrima" w:eastAsia="Calibri" w:hAnsi="Ebrima"/>
          <w:bCs/>
          <w:sz w:val="20"/>
          <w:szCs w:val="20"/>
          <w:lang w:eastAsia="en-US"/>
        </w:rPr>
        <w:t>i elle donne une suite favorable à sa demande</w:t>
      </w:r>
      <w:r>
        <w:rPr>
          <w:rFonts w:ascii="Ebrima" w:eastAsia="Calibri" w:hAnsi="Ebrima"/>
          <w:bCs/>
          <w:sz w:val="20"/>
          <w:szCs w:val="20"/>
          <w:lang w:eastAsia="en-US"/>
        </w:rPr>
        <w:t xml:space="preserve"> </w:t>
      </w:r>
      <w:r w:rsidR="00C32AA6">
        <w:rPr>
          <w:rFonts w:ascii="Ebrima" w:eastAsia="Calibri" w:hAnsi="Ebrima"/>
          <w:bCs/>
          <w:sz w:val="20"/>
          <w:szCs w:val="20"/>
          <w:lang w:eastAsia="en-US"/>
        </w:rPr>
        <w:t>du</w:t>
      </w:r>
      <w:r>
        <w:rPr>
          <w:rFonts w:ascii="Ebrima" w:eastAsia="Calibri" w:hAnsi="Ebrima"/>
          <w:bCs/>
          <w:sz w:val="20"/>
          <w:szCs w:val="20"/>
          <w:lang w:eastAsia="en-US"/>
        </w:rPr>
        <w:t xml:space="preserve"> montant d’indemnité de départ volontaire qu’elle lui accorde. </w:t>
      </w:r>
      <w:r w:rsidR="00C32AA6">
        <w:rPr>
          <w:rFonts w:ascii="Ebrima" w:eastAsia="Calibri" w:hAnsi="Ebrima"/>
          <w:bCs/>
          <w:sz w:val="20"/>
          <w:szCs w:val="20"/>
          <w:lang w:eastAsia="en-US"/>
        </w:rPr>
        <w:t>L’agent pourra alors déposer sa demande officielle de démission</w:t>
      </w:r>
      <w:r>
        <w:rPr>
          <w:rFonts w:ascii="Ebrima" w:eastAsia="Calibri" w:hAnsi="Ebrima"/>
          <w:bCs/>
          <w:sz w:val="20"/>
          <w:szCs w:val="20"/>
          <w:lang w:eastAsia="en-US"/>
        </w:rPr>
        <w:t xml:space="preserve">. </w:t>
      </w:r>
      <w:r w:rsidR="00C32AA6">
        <w:rPr>
          <w:rFonts w:ascii="Ebrima" w:eastAsia="Calibri" w:hAnsi="Ebrima"/>
          <w:bCs/>
          <w:sz w:val="20"/>
          <w:szCs w:val="20"/>
          <w:lang w:eastAsia="en-US"/>
        </w:rPr>
        <w:t xml:space="preserve">En retour, </w:t>
      </w:r>
      <w:r w:rsidR="00650F3C">
        <w:rPr>
          <w:rFonts w:ascii="Ebrima" w:eastAsia="Calibri" w:hAnsi="Ebrima"/>
          <w:bCs/>
          <w:sz w:val="20"/>
          <w:szCs w:val="20"/>
          <w:lang w:eastAsia="en-US"/>
        </w:rPr>
        <w:t xml:space="preserve">l’autorité territoriale </w:t>
      </w:r>
      <w:r w:rsidR="00C32AA6">
        <w:rPr>
          <w:rFonts w:ascii="Ebrima" w:eastAsia="Calibri" w:hAnsi="Ebrima"/>
          <w:bCs/>
          <w:sz w:val="20"/>
          <w:szCs w:val="20"/>
          <w:lang w:eastAsia="en-US"/>
        </w:rPr>
        <w:t xml:space="preserve">lui notifiera un arrêté de radiation des cadres pour motif de démission et un </w:t>
      </w:r>
      <w:r w:rsidR="00650F3C">
        <w:rPr>
          <w:rFonts w:ascii="Ebrima" w:eastAsia="Calibri" w:hAnsi="Ebrima"/>
          <w:bCs/>
          <w:sz w:val="20"/>
          <w:szCs w:val="20"/>
          <w:lang w:eastAsia="en-US"/>
        </w:rPr>
        <w:t>arrêté d’attribution</w:t>
      </w:r>
      <w:r w:rsidR="00C32AA6">
        <w:rPr>
          <w:rFonts w:ascii="Ebrima" w:eastAsia="Calibri" w:hAnsi="Ebrima"/>
          <w:bCs/>
          <w:sz w:val="20"/>
          <w:szCs w:val="20"/>
          <w:lang w:eastAsia="en-US"/>
        </w:rPr>
        <w:t xml:space="preserve"> de l’indemnité de départ volontaire.</w:t>
      </w:r>
    </w:p>
    <w:p w:rsidR="00650F3C" w:rsidRDefault="00650F3C" w:rsidP="006545A1">
      <w:pPr>
        <w:pStyle w:val="loose"/>
        <w:spacing w:before="0" w:beforeAutospacing="0" w:after="0" w:afterAutospacing="0"/>
        <w:jc w:val="both"/>
        <w:rPr>
          <w:rFonts w:ascii="Ebrima" w:eastAsia="Calibri" w:hAnsi="Ebrima"/>
          <w:bCs/>
          <w:sz w:val="20"/>
          <w:szCs w:val="20"/>
          <w:lang w:eastAsia="en-US"/>
        </w:rPr>
      </w:pPr>
    </w:p>
    <w:p w:rsidR="00DD4ED2" w:rsidRDefault="00DD4ED2" w:rsidP="006545A1">
      <w:pPr>
        <w:pStyle w:val="loose"/>
        <w:spacing w:before="0" w:beforeAutospacing="0" w:after="0" w:afterAutospacing="0"/>
        <w:jc w:val="both"/>
        <w:rPr>
          <w:rFonts w:ascii="Ebrima" w:eastAsia="Calibri" w:hAnsi="Ebrima"/>
          <w:bCs/>
          <w:sz w:val="20"/>
          <w:szCs w:val="20"/>
          <w:lang w:eastAsia="en-US"/>
        </w:rPr>
      </w:pPr>
      <w:r w:rsidRPr="00DD4ED2">
        <w:rPr>
          <w:rFonts w:ascii="Ebrima" w:eastAsia="Calibri" w:hAnsi="Ebrima"/>
          <w:bCs/>
          <w:sz w:val="20"/>
          <w:szCs w:val="20"/>
          <w:lang w:eastAsia="en-US"/>
        </w:rPr>
        <w:t>Le montant de l'indemnité de départ volontaire ne peut excéder une somme équivalente au double de la rémunération brute annuelle perçue par l'agent au cours de l'année civile précédant celle du dépôt de sa demande de démission.</w:t>
      </w:r>
    </w:p>
    <w:p w:rsidR="00DD4ED2" w:rsidRDefault="00DD4ED2" w:rsidP="00DD4ED2">
      <w:pPr>
        <w:pStyle w:val="loose"/>
        <w:spacing w:before="0" w:beforeAutospacing="0" w:after="0" w:afterAutospacing="0"/>
        <w:jc w:val="both"/>
        <w:rPr>
          <w:rFonts w:ascii="Ebrima" w:eastAsia="Calibri" w:hAnsi="Ebrima"/>
          <w:bCs/>
          <w:sz w:val="20"/>
          <w:szCs w:val="20"/>
          <w:lang w:eastAsia="en-US"/>
        </w:rPr>
      </w:pPr>
    </w:p>
    <w:p w:rsidR="00DD4ED2" w:rsidRDefault="00DD4ED2" w:rsidP="00DD4ED2">
      <w:pPr>
        <w:pStyle w:val="loose"/>
        <w:spacing w:before="0" w:beforeAutospacing="0" w:after="0" w:afterAutospacing="0"/>
        <w:jc w:val="both"/>
        <w:rPr>
          <w:rFonts w:ascii="Ebrima" w:eastAsia="Calibri" w:hAnsi="Ebrima"/>
          <w:bCs/>
          <w:sz w:val="20"/>
          <w:szCs w:val="20"/>
          <w:lang w:eastAsia="en-US"/>
        </w:rPr>
      </w:pPr>
      <w:r w:rsidRPr="00DD4ED2">
        <w:rPr>
          <w:rFonts w:ascii="Ebrima" w:eastAsia="Calibri" w:hAnsi="Ebrima"/>
          <w:bCs/>
          <w:sz w:val="20"/>
          <w:szCs w:val="20"/>
          <w:lang w:eastAsia="en-US"/>
        </w:rPr>
        <w:t xml:space="preserve">La rémunération brute comprend : </w:t>
      </w:r>
    </w:p>
    <w:p w:rsidR="00DD4ED2" w:rsidRPr="00DD4ED2" w:rsidRDefault="00DD4ED2" w:rsidP="00DD4ED2">
      <w:pPr>
        <w:pStyle w:val="loose"/>
        <w:spacing w:before="0" w:beforeAutospacing="0" w:after="0" w:afterAutospacing="0"/>
        <w:jc w:val="both"/>
        <w:rPr>
          <w:rFonts w:ascii="Ebrima" w:eastAsia="Calibri" w:hAnsi="Ebrima"/>
          <w:bCs/>
          <w:sz w:val="20"/>
          <w:szCs w:val="20"/>
          <w:lang w:eastAsia="en-US"/>
        </w:rPr>
      </w:pPr>
    </w:p>
    <w:p w:rsidR="00DD4ED2" w:rsidRPr="00DD4ED2" w:rsidRDefault="00DD4ED2" w:rsidP="00DD4ED2">
      <w:pPr>
        <w:pStyle w:val="loose"/>
        <w:numPr>
          <w:ilvl w:val="0"/>
          <w:numId w:val="16"/>
        </w:numPr>
        <w:spacing w:before="0" w:beforeAutospacing="0" w:after="0" w:afterAutospacing="0"/>
        <w:jc w:val="both"/>
        <w:rPr>
          <w:rFonts w:ascii="Ebrima" w:eastAsia="Calibri" w:hAnsi="Ebrima"/>
          <w:bCs/>
          <w:sz w:val="20"/>
          <w:szCs w:val="20"/>
          <w:lang w:eastAsia="en-US"/>
        </w:rPr>
      </w:pPr>
      <w:r w:rsidRPr="00DD4ED2">
        <w:rPr>
          <w:rFonts w:ascii="Ebrima" w:eastAsia="Calibri" w:hAnsi="Ebrima"/>
          <w:bCs/>
          <w:sz w:val="20"/>
          <w:szCs w:val="20"/>
          <w:lang w:eastAsia="en-US"/>
        </w:rPr>
        <w:t xml:space="preserve">Le traitement indiciaire brut, </w:t>
      </w:r>
    </w:p>
    <w:p w:rsidR="00DD4ED2" w:rsidRPr="00DD4ED2" w:rsidRDefault="00DD4ED2" w:rsidP="00DD4ED2">
      <w:pPr>
        <w:pStyle w:val="loose"/>
        <w:numPr>
          <w:ilvl w:val="0"/>
          <w:numId w:val="16"/>
        </w:numPr>
        <w:spacing w:before="0" w:beforeAutospacing="0" w:after="0" w:afterAutospacing="0"/>
        <w:jc w:val="both"/>
        <w:rPr>
          <w:rFonts w:ascii="Ebrima" w:eastAsia="Calibri" w:hAnsi="Ebrima"/>
          <w:bCs/>
          <w:sz w:val="20"/>
          <w:szCs w:val="20"/>
          <w:lang w:eastAsia="en-US"/>
        </w:rPr>
      </w:pPr>
      <w:r w:rsidRPr="00DD4ED2">
        <w:rPr>
          <w:rFonts w:ascii="Ebrima" w:eastAsia="Calibri" w:hAnsi="Ebrima"/>
          <w:bCs/>
          <w:sz w:val="20"/>
          <w:szCs w:val="20"/>
          <w:lang w:eastAsia="en-US"/>
        </w:rPr>
        <w:t xml:space="preserve">L'indemnité de résidence (aucune collectivité ou établissement n’y ouvre droit dans le département du Loiret), </w:t>
      </w:r>
    </w:p>
    <w:p w:rsidR="00DD4ED2" w:rsidRPr="00DD4ED2" w:rsidRDefault="00DD4ED2" w:rsidP="00DD4ED2">
      <w:pPr>
        <w:pStyle w:val="loose"/>
        <w:numPr>
          <w:ilvl w:val="0"/>
          <w:numId w:val="16"/>
        </w:numPr>
        <w:spacing w:before="0" w:beforeAutospacing="0" w:after="0" w:afterAutospacing="0"/>
        <w:jc w:val="both"/>
        <w:rPr>
          <w:rFonts w:ascii="Ebrima" w:eastAsia="Calibri" w:hAnsi="Ebrima"/>
          <w:bCs/>
          <w:sz w:val="20"/>
          <w:szCs w:val="20"/>
          <w:lang w:eastAsia="en-US"/>
        </w:rPr>
      </w:pPr>
      <w:r w:rsidRPr="00DD4ED2">
        <w:rPr>
          <w:rFonts w:ascii="Ebrima" w:eastAsia="Calibri" w:hAnsi="Ebrima"/>
          <w:bCs/>
          <w:sz w:val="20"/>
          <w:szCs w:val="20"/>
          <w:lang w:eastAsia="en-US"/>
        </w:rPr>
        <w:t xml:space="preserve">Le supplément familial de traitement </w:t>
      </w:r>
      <w:r w:rsidR="00F10CC3">
        <w:rPr>
          <w:rFonts w:ascii="Ebrima" w:eastAsia="Calibri" w:hAnsi="Ebrima"/>
          <w:bCs/>
          <w:sz w:val="20"/>
          <w:szCs w:val="20"/>
          <w:lang w:eastAsia="en-US"/>
        </w:rPr>
        <w:t>–</w:t>
      </w:r>
      <w:r w:rsidRPr="00DD4ED2">
        <w:rPr>
          <w:rFonts w:ascii="Ebrima" w:eastAsia="Calibri" w:hAnsi="Ebrima"/>
          <w:bCs/>
          <w:sz w:val="20"/>
          <w:szCs w:val="20"/>
          <w:lang w:eastAsia="en-US"/>
        </w:rPr>
        <w:t xml:space="preserve"> SFT</w:t>
      </w:r>
      <w:r w:rsidR="00F10CC3">
        <w:rPr>
          <w:rFonts w:ascii="Ebrima" w:eastAsia="Calibri" w:hAnsi="Ebrima"/>
          <w:bCs/>
          <w:sz w:val="20"/>
          <w:szCs w:val="20"/>
          <w:lang w:eastAsia="en-US"/>
        </w:rPr>
        <w:t>,</w:t>
      </w:r>
      <w:r w:rsidRPr="00DD4ED2">
        <w:rPr>
          <w:rFonts w:ascii="Ebrima" w:eastAsia="Calibri" w:hAnsi="Ebrima"/>
          <w:bCs/>
          <w:sz w:val="20"/>
          <w:szCs w:val="20"/>
          <w:lang w:eastAsia="en-US"/>
        </w:rPr>
        <w:t xml:space="preserve"> </w:t>
      </w:r>
    </w:p>
    <w:p w:rsidR="00DD4ED2" w:rsidRDefault="00DD4ED2" w:rsidP="00DD4ED2">
      <w:pPr>
        <w:pStyle w:val="loose"/>
        <w:numPr>
          <w:ilvl w:val="0"/>
          <w:numId w:val="16"/>
        </w:numPr>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Les primes et indemnités éventuellement instaurées par la </w:t>
      </w:r>
      <w:r w:rsidRPr="00F10CC3">
        <w:rPr>
          <w:rFonts w:ascii="Ebrima" w:eastAsia="Calibri" w:hAnsi="Ebrima"/>
          <w:bCs/>
          <w:i/>
          <w:sz w:val="20"/>
          <w:szCs w:val="20"/>
          <w:lang w:eastAsia="en-US"/>
        </w:rPr>
        <w:t>collectivité ou l’établissement</w:t>
      </w:r>
      <w:r w:rsidR="00F10CC3">
        <w:rPr>
          <w:rFonts w:ascii="Ebrima" w:eastAsia="Calibri" w:hAnsi="Ebrima"/>
          <w:bCs/>
          <w:i/>
          <w:sz w:val="20"/>
          <w:szCs w:val="20"/>
          <w:lang w:eastAsia="en-US"/>
        </w:rPr>
        <w:t>.</w:t>
      </w:r>
    </w:p>
    <w:p w:rsidR="00DD4ED2" w:rsidRDefault="00DD4ED2" w:rsidP="00705C1A">
      <w:pPr>
        <w:pStyle w:val="loose"/>
        <w:spacing w:before="0" w:beforeAutospacing="0" w:after="0" w:afterAutospacing="0"/>
        <w:jc w:val="both"/>
        <w:rPr>
          <w:rFonts w:ascii="Ebrima" w:eastAsia="Calibri" w:hAnsi="Ebrima"/>
          <w:bCs/>
          <w:sz w:val="20"/>
          <w:szCs w:val="20"/>
          <w:lang w:eastAsia="en-US"/>
        </w:rPr>
      </w:pPr>
    </w:p>
    <w:p w:rsidR="00F10CC3" w:rsidRDefault="00705C1A" w:rsidP="00705C1A">
      <w:pPr>
        <w:pStyle w:val="loose"/>
        <w:spacing w:before="0" w:beforeAutospacing="0" w:after="0" w:afterAutospacing="0"/>
        <w:jc w:val="both"/>
        <w:rPr>
          <w:rFonts w:ascii="Ebrima" w:eastAsia="Calibri" w:hAnsi="Ebrima"/>
          <w:bCs/>
          <w:sz w:val="20"/>
          <w:szCs w:val="20"/>
          <w:lang w:eastAsia="en-US"/>
        </w:rPr>
      </w:pPr>
      <w:r w:rsidRPr="00705C1A">
        <w:rPr>
          <w:rFonts w:ascii="Ebrima" w:eastAsia="Calibri" w:hAnsi="Ebrima"/>
          <w:bCs/>
          <w:sz w:val="20"/>
          <w:szCs w:val="20"/>
          <w:lang w:eastAsia="en-US"/>
        </w:rPr>
        <w:t>L</w:t>
      </w:r>
      <w:r>
        <w:rPr>
          <w:rFonts w:ascii="Ebrima" w:eastAsia="Calibri" w:hAnsi="Ebrima"/>
          <w:bCs/>
          <w:sz w:val="20"/>
          <w:szCs w:val="20"/>
          <w:lang w:eastAsia="en-US"/>
        </w:rPr>
        <w:t xml:space="preserve">’autorité territoriale </w:t>
      </w:r>
      <w:r w:rsidRPr="00705C1A">
        <w:rPr>
          <w:rFonts w:ascii="Ebrima" w:eastAsia="Calibri" w:hAnsi="Ebrima"/>
          <w:bCs/>
          <w:sz w:val="20"/>
          <w:szCs w:val="20"/>
          <w:lang w:eastAsia="en-US"/>
        </w:rPr>
        <w:t>détermine</w:t>
      </w:r>
      <w:r>
        <w:rPr>
          <w:rFonts w:ascii="Ebrima" w:eastAsia="Calibri" w:hAnsi="Ebrima"/>
          <w:bCs/>
          <w:sz w:val="20"/>
          <w:szCs w:val="20"/>
          <w:lang w:eastAsia="en-US"/>
        </w:rPr>
        <w:t>ra</w:t>
      </w:r>
      <w:r w:rsidRPr="00705C1A">
        <w:rPr>
          <w:rFonts w:ascii="Ebrima" w:eastAsia="Calibri" w:hAnsi="Ebrima"/>
          <w:bCs/>
          <w:sz w:val="20"/>
          <w:szCs w:val="20"/>
          <w:lang w:eastAsia="en-US"/>
        </w:rPr>
        <w:t xml:space="preserve"> le montant individuel versé à l'agent, dans les limites fixées par la présente délibération</w:t>
      </w:r>
      <w:r w:rsidRPr="00705C1A">
        <w:rPr>
          <w:rFonts w:ascii="Ebrima" w:eastAsia="Calibri" w:hAnsi="Ebrima"/>
          <w:bCs/>
          <w:i/>
          <w:sz w:val="20"/>
          <w:szCs w:val="20"/>
          <w:lang w:eastAsia="en-US"/>
        </w:rPr>
        <w:t>,</w:t>
      </w:r>
      <w:r w:rsidRPr="00705C1A">
        <w:rPr>
          <w:rFonts w:ascii="Ebrima" w:eastAsia="Calibri" w:hAnsi="Ebrima"/>
          <w:bCs/>
          <w:sz w:val="20"/>
          <w:szCs w:val="20"/>
          <w:lang w:eastAsia="en-US"/>
        </w:rPr>
        <w:t xml:space="preserve"> en tenant compte le cas échéant</w:t>
      </w:r>
      <w:r w:rsidR="00F10CC3">
        <w:rPr>
          <w:rFonts w:ascii="Ebrima" w:eastAsia="Calibri" w:hAnsi="Ebrima"/>
          <w:bCs/>
          <w:sz w:val="20"/>
          <w:szCs w:val="20"/>
          <w:lang w:eastAsia="en-US"/>
        </w:rPr>
        <w:t> des critères suivants</w:t>
      </w:r>
    </w:p>
    <w:p w:rsidR="00F10CC3" w:rsidRDefault="00F10CC3" w:rsidP="00705C1A">
      <w:pPr>
        <w:pStyle w:val="loose"/>
        <w:spacing w:before="0" w:beforeAutospacing="0" w:after="0" w:afterAutospacing="0"/>
        <w:jc w:val="both"/>
        <w:rPr>
          <w:rFonts w:ascii="Ebrima" w:eastAsia="Calibri" w:hAnsi="Ebrima"/>
          <w:bCs/>
          <w:sz w:val="20"/>
          <w:szCs w:val="20"/>
          <w:lang w:eastAsia="en-US"/>
        </w:rPr>
      </w:pPr>
    </w:p>
    <w:p w:rsidR="00705C1A" w:rsidRPr="00F10CC3" w:rsidRDefault="00F10CC3" w:rsidP="00705C1A">
      <w:pPr>
        <w:pStyle w:val="loose"/>
        <w:spacing w:before="0" w:beforeAutospacing="0" w:after="0" w:afterAutospacing="0"/>
        <w:jc w:val="both"/>
        <w:rPr>
          <w:rFonts w:ascii="Ebrima" w:eastAsia="Calibri" w:hAnsi="Ebrima"/>
          <w:bCs/>
          <w:i/>
          <w:sz w:val="20"/>
          <w:szCs w:val="20"/>
          <w:lang w:eastAsia="en-US"/>
        </w:rPr>
      </w:pPr>
      <w:r w:rsidRPr="00F10CC3">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F10CC3">
        <w:rPr>
          <w:rFonts w:ascii="Ebrima" w:eastAsia="Calibri" w:hAnsi="Ebrima"/>
          <w:bCs/>
          <w:i/>
          <w:sz w:val="20"/>
          <w:szCs w:val="20"/>
          <w:lang w:eastAsia="en-US"/>
        </w:rPr>
        <w:t>(</w:t>
      </w:r>
      <w:r>
        <w:rPr>
          <w:rFonts w:ascii="Ebrima" w:eastAsia="Calibri" w:hAnsi="Ebrima"/>
          <w:bCs/>
          <w:i/>
          <w:sz w:val="20"/>
          <w:szCs w:val="20"/>
          <w:lang w:eastAsia="en-US"/>
        </w:rPr>
        <w:t>F</w:t>
      </w:r>
      <w:r w:rsidRPr="00F10CC3">
        <w:rPr>
          <w:rFonts w:ascii="Ebrima" w:eastAsia="Calibri" w:hAnsi="Ebrima"/>
          <w:bCs/>
          <w:i/>
          <w:sz w:val="20"/>
          <w:szCs w:val="20"/>
          <w:lang w:eastAsia="en-US"/>
        </w:rPr>
        <w:t xml:space="preserve">ixation de critères qui tiennent compte selon le décret </w:t>
      </w:r>
      <w:r w:rsidR="00705C1A" w:rsidRPr="00F10CC3">
        <w:rPr>
          <w:rFonts w:ascii="Ebrima" w:eastAsia="Calibri" w:hAnsi="Ebrima"/>
          <w:bCs/>
          <w:i/>
          <w:sz w:val="20"/>
          <w:szCs w:val="20"/>
          <w:lang w:eastAsia="en-US"/>
        </w:rPr>
        <w:t xml:space="preserve">des orientations générales de </w:t>
      </w:r>
      <w:r>
        <w:rPr>
          <w:rFonts w:ascii="Ebrima" w:eastAsia="Calibri" w:hAnsi="Ebrima"/>
          <w:bCs/>
          <w:i/>
          <w:sz w:val="20"/>
          <w:szCs w:val="20"/>
          <w:lang w:eastAsia="en-US"/>
        </w:rPr>
        <w:t>l</w:t>
      </w:r>
      <w:r w:rsidR="00705C1A" w:rsidRPr="00F10CC3">
        <w:rPr>
          <w:rFonts w:ascii="Ebrima" w:eastAsia="Calibri" w:hAnsi="Ebrima"/>
          <w:bCs/>
          <w:i/>
          <w:sz w:val="20"/>
          <w:szCs w:val="20"/>
          <w:lang w:eastAsia="en-US"/>
        </w:rPr>
        <w:t xml:space="preserve">a politique de gestion des ressources humaines et de l'ancienneté dans </w:t>
      </w:r>
      <w:r w:rsidRPr="00F10CC3">
        <w:rPr>
          <w:rFonts w:ascii="Ebrima" w:eastAsia="Calibri" w:hAnsi="Ebrima"/>
          <w:bCs/>
          <w:i/>
          <w:sz w:val="20"/>
          <w:szCs w:val="20"/>
          <w:lang w:eastAsia="en-US"/>
        </w:rPr>
        <w:t>la collectivité ou l’établissement</w:t>
      </w:r>
      <w:r w:rsidR="00705C1A" w:rsidRPr="00F10CC3">
        <w:rPr>
          <w:rFonts w:ascii="Ebrima" w:eastAsia="Calibri" w:hAnsi="Ebrima"/>
          <w:bCs/>
          <w:i/>
          <w:sz w:val="20"/>
          <w:szCs w:val="20"/>
          <w:lang w:eastAsia="en-US"/>
        </w:rPr>
        <w:t xml:space="preserve"> </w:t>
      </w:r>
      <w:proofErr w:type="spellStart"/>
      <w:r w:rsidR="00705C1A" w:rsidRPr="00F10CC3">
        <w:rPr>
          <w:rFonts w:ascii="Ebrima" w:eastAsia="Calibri" w:hAnsi="Ebrima"/>
          <w:bCs/>
          <w:i/>
          <w:sz w:val="20"/>
          <w:szCs w:val="20"/>
          <w:lang w:eastAsia="en-US"/>
        </w:rPr>
        <w:t>ou</w:t>
      </w:r>
      <w:proofErr w:type="spellEnd"/>
      <w:r w:rsidR="00705C1A" w:rsidRPr="00F10CC3">
        <w:rPr>
          <w:rFonts w:ascii="Ebrima" w:eastAsia="Calibri" w:hAnsi="Ebrima"/>
          <w:bCs/>
          <w:i/>
          <w:sz w:val="20"/>
          <w:szCs w:val="20"/>
          <w:lang w:eastAsia="en-US"/>
        </w:rPr>
        <w:t xml:space="preserve"> du grade détenu par l'agent.</w:t>
      </w:r>
      <w:r w:rsidRPr="00F10CC3">
        <w:rPr>
          <w:rFonts w:ascii="Ebrima" w:eastAsia="Calibri" w:hAnsi="Ebrima"/>
          <w:bCs/>
          <w:i/>
          <w:sz w:val="20"/>
          <w:szCs w:val="20"/>
          <w:lang w:eastAsia="en-US"/>
        </w:rPr>
        <w:t>)</w:t>
      </w:r>
    </w:p>
    <w:p w:rsidR="00705C1A" w:rsidRPr="00705C1A" w:rsidRDefault="00705C1A" w:rsidP="00705C1A">
      <w:pPr>
        <w:pStyle w:val="loose"/>
        <w:spacing w:before="0" w:beforeAutospacing="0" w:after="0" w:afterAutospacing="0"/>
        <w:jc w:val="both"/>
        <w:rPr>
          <w:rFonts w:ascii="Ebrima" w:eastAsia="Calibri" w:hAnsi="Ebrima"/>
          <w:bCs/>
          <w:sz w:val="20"/>
          <w:szCs w:val="20"/>
          <w:lang w:eastAsia="en-US"/>
        </w:rPr>
      </w:pPr>
    </w:p>
    <w:p w:rsidR="00705C1A" w:rsidRPr="00705C1A" w:rsidRDefault="00705C1A" w:rsidP="00705C1A">
      <w:pPr>
        <w:pStyle w:val="loose"/>
        <w:spacing w:before="0" w:beforeAutospacing="0" w:after="0" w:afterAutospacing="0"/>
        <w:jc w:val="both"/>
        <w:rPr>
          <w:rFonts w:ascii="Ebrima" w:eastAsia="Calibri" w:hAnsi="Ebrima"/>
          <w:bCs/>
          <w:sz w:val="20"/>
          <w:szCs w:val="20"/>
          <w:lang w:eastAsia="en-US"/>
        </w:rPr>
      </w:pPr>
      <w:r w:rsidRPr="00705C1A">
        <w:rPr>
          <w:rFonts w:ascii="Ebrima" w:eastAsia="Calibri" w:hAnsi="Ebrima"/>
          <w:bCs/>
          <w:sz w:val="20"/>
          <w:szCs w:val="20"/>
          <w:lang w:eastAsia="en-US"/>
        </w:rPr>
        <w:t>Cette indemnité de départ volontaire est versée en une seule fois.</w:t>
      </w:r>
    </w:p>
    <w:p w:rsidR="00705C1A" w:rsidRDefault="00705C1A" w:rsidP="00705C1A">
      <w:pPr>
        <w:pStyle w:val="loose"/>
        <w:spacing w:before="0" w:beforeAutospacing="0" w:after="0" w:afterAutospacing="0"/>
        <w:jc w:val="both"/>
        <w:rPr>
          <w:rFonts w:ascii="Ebrima" w:eastAsia="Calibri" w:hAnsi="Ebrima"/>
          <w:bCs/>
          <w:sz w:val="20"/>
          <w:szCs w:val="20"/>
          <w:lang w:eastAsia="en-US"/>
        </w:rPr>
      </w:pPr>
      <w:r w:rsidRPr="00705C1A">
        <w:rPr>
          <w:rFonts w:ascii="Ebrima" w:eastAsia="Calibri" w:hAnsi="Ebrima"/>
          <w:bCs/>
          <w:sz w:val="20"/>
          <w:szCs w:val="20"/>
          <w:lang w:eastAsia="en-US"/>
        </w:rPr>
        <w:t>Elle est exclusive de toute autre indemnité de même nature.</w:t>
      </w:r>
    </w:p>
    <w:p w:rsidR="00F10CC3" w:rsidRPr="00705C1A" w:rsidRDefault="00F10CC3" w:rsidP="00705C1A">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Elle ouvre droit aux allocations chômage</w:t>
      </w:r>
    </w:p>
    <w:p w:rsidR="00705C1A" w:rsidRPr="00705C1A" w:rsidRDefault="00705C1A" w:rsidP="00705C1A">
      <w:pPr>
        <w:pStyle w:val="loose"/>
        <w:spacing w:before="0" w:beforeAutospacing="0" w:after="0" w:afterAutospacing="0"/>
        <w:jc w:val="both"/>
        <w:rPr>
          <w:rFonts w:ascii="Ebrima" w:eastAsia="Calibri" w:hAnsi="Ebrima"/>
          <w:bCs/>
          <w:sz w:val="20"/>
          <w:szCs w:val="20"/>
          <w:lang w:eastAsia="en-US"/>
        </w:rPr>
      </w:pPr>
    </w:p>
    <w:p w:rsidR="00705C1A" w:rsidRPr="00705C1A" w:rsidRDefault="00F10CC3" w:rsidP="00705C1A">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Il est précisé </w:t>
      </w:r>
      <w:r w:rsidR="00705C1A" w:rsidRPr="00705C1A">
        <w:rPr>
          <w:rFonts w:ascii="Ebrima" w:eastAsia="Calibri" w:hAnsi="Ebrima"/>
          <w:bCs/>
          <w:sz w:val="20"/>
          <w:szCs w:val="20"/>
          <w:lang w:eastAsia="en-US"/>
        </w:rPr>
        <w:t xml:space="preserve">que l’agent qui, dans les cinq années suivant sa démission, est recruté en tant qu’agent titulaire ou contractuel pour occuper un emploi de la fonction publique de l’Etat ou de la fonction publique territoriale ou de leurs établissements publics respectifs ou un emploi de la fonction publique hospitalière sera tenu de rembourser à </w:t>
      </w:r>
      <w:r w:rsidRPr="00705C1A">
        <w:rPr>
          <w:rFonts w:ascii="Ebrima" w:eastAsia="Calibri" w:hAnsi="Ebrima"/>
          <w:bCs/>
          <w:i/>
          <w:sz w:val="20"/>
          <w:szCs w:val="20"/>
          <w:lang w:eastAsia="en-US"/>
        </w:rPr>
        <w:t>le-la-l’</w:t>
      </w:r>
      <w:r w:rsidR="00705C1A" w:rsidRPr="00705C1A">
        <w:rPr>
          <w:rFonts w:ascii="Ebrima" w:eastAsia="Calibri" w:hAnsi="Ebrima"/>
          <w:bCs/>
          <w:sz w:val="20"/>
          <w:szCs w:val="20"/>
          <w:highlight w:val="yellow"/>
          <w:lang w:eastAsia="en-US"/>
        </w:rPr>
        <w:t>…</w:t>
      </w:r>
      <w:r w:rsidR="00705C1A">
        <w:rPr>
          <w:rFonts w:ascii="Ebrima" w:eastAsia="Calibri" w:hAnsi="Ebrima"/>
          <w:bCs/>
          <w:sz w:val="20"/>
          <w:szCs w:val="20"/>
          <w:lang w:eastAsia="en-US"/>
        </w:rPr>
        <w:t xml:space="preserve"> </w:t>
      </w:r>
      <w:r w:rsidRPr="00F10CC3">
        <w:rPr>
          <w:rFonts w:ascii="Ebrima" w:eastAsia="Calibri" w:hAnsi="Ebrima"/>
          <w:bCs/>
          <w:i/>
          <w:sz w:val="20"/>
          <w:szCs w:val="20"/>
          <w:lang w:eastAsia="en-US"/>
        </w:rPr>
        <w:t>(</w:t>
      </w:r>
      <w:proofErr w:type="gramStart"/>
      <w:r w:rsidR="00705C1A" w:rsidRPr="00705C1A">
        <w:rPr>
          <w:rFonts w:ascii="Ebrima" w:eastAsia="Calibri" w:hAnsi="Ebrima"/>
          <w:bCs/>
          <w:i/>
          <w:sz w:val="20"/>
          <w:szCs w:val="20"/>
          <w:lang w:eastAsia="en-US"/>
        </w:rPr>
        <w:t>dénomination</w:t>
      </w:r>
      <w:proofErr w:type="gramEnd"/>
      <w:r w:rsidR="00705C1A" w:rsidRPr="00705C1A">
        <w:rPr>
          <w:rFonts w:ascii="Ebrima" w:eastAsia="Calibri" w:hAnsi="Ebrima"/>
          <w:bCs/>
          <w:i/>
          <w:sz w:val="20"/>
          <w:szCs w:val="20"/>
          <w:lang w:eastAsia="en-US"/>
        </w:rPr>
        <w:t xml:space="preserve"> de la collectivité ou l’établissement)</w:t>
      </w:r>
      <w:r w:rsidR="00705C1A" w:rsidRPr="00705C1A">
        <w:rPr>
          <w:rFonts w:ascii="Ebrima" w:eastAsia="Calibri" w:hAnsi="Ebrima"/>
          <w:bCs/>
          <w:sz w:val="20"/>
          <w:szCs w:val="20"/>
          <w:lang w:eastAsia="en-US"/>
        </w:rPr>
        <w:t xml:space="preserve"> qui a versé l’indemnité de départ volontaire, au plus tard dans les trois ans qui suivent le recrutement, les sommes perçues au titre de cette indemnité.</w:t>
      </w:r>
    </w:p>
    <w:p w:rsidR="00705C1A" w:rsidRDefault="00705C1A" w:rsidP="00705C1A">
      <w:pPr>
        <w:pStyle w:val="loose"/>
        <w:spacing w:before="0" w:beforeAutospacing="0" w:after="0" w:afterAutospacing="0"/>
        <w:jc w:val="both"/>
        <w:rPr>
          <w:rFonts w:ascii="Ebrima" w:eastAsia="Calibri" w:hAnsi="Ebrima"/>
          <w:bCs/>
          <w:sz w:val="20"/>
          <w:szCs w:val="20"/>
          <w:lang w:eastAsia="en-US"/>
        </w:rPr>
      </w:pPr>
    </w:p>
    <w:p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00024A1A">
        <w:rPr>
          <w:rFonts w:ascii="Ebrima" w:eastAsia="Calibri" w:hAnsi="Ebrima"/>
          <w:bCs/>
          <w:sz w:val="20"/>
          <w:szCs w:val="20"/>
          <w:lang w:eastAsia="en-US"/>
        </w:rPr>
        <w:t>d’instaurer l’indemnité de départ volontaire au bénéfice des agents de droit public remplissant les conditions.</w:t>
      </w:r>
    </w:p>
    <w:p w:rsidR="00F10CC3" w:rsidRDefault="00F10CC3" w:rsidP="006545A1">
      <w:pPr>
        <w:jc w:val="both"/>
        <w:rPr>
          <w:rFonts w:ascii="Ebrima" w:hAnsi="Ebrima"/>
          <w:sz w:val="20"/>
          <w:szCs w:val="20"/>
        </w:rPr>
      </w:pPr>
    </w:p>
    <w:p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rsidR="006545A1" w:rsidRPr="006545A1" w:rsidRDefault="006545A1" w:rsidP="006545A1">
      <w:pPr>
        <w:jc w:val="both"/>
        <w:rPr>
          <w:rFonts w:ascii="Ebrima" w:hAnsi="Ebrima"/>
          <w:sz w:val="20"/>
          <w:szCs w:val="20"/>
        </w:rPr>
      </w:pPr>
    </w:p>
    <w:p w:rsidR="00A80D16" w:rsidRPr="000A6AE9" w:rsidRDefault="00A80D16" w:rsidP="00A80D16">
      <w:pPr>
        <w:jc w:val="both"/>
        <w:rPr>
          <w:rFonts w:ascii="Ebrima" w:hAnsi="Ebrima"/>
          <w:sz w:val="20"/>
          <w:szCs w:val="20"/>
        </w:rPr>
      </w:pPr>
      <w:r w:rsidRPr="000A6AE9">
        <w:rPr>
          <w:rFonts w:ascii="Ebrima" w:hAnsi="Ebrima"/>
          <w:sz w:val="20"/>
          <w:szCs w:val="20"/>
        </w:rPr>
        <w:t xml:space="preserve">Vu le Code général de la fonction publique, notamment ses articles </w:t>
      </w:r>
      <w:r w:rsidR="00417C20">
        <w:rPr>
          <w:rFonts w:ascii="Ebrima" w:hAnsi="Ebrima"/>
          <w:sz w:val="20"/>
          <w:szCs w:val="20"/>
        </w:rPr>
        <w:t xml:space="preserve">L.124-4 à L.124-6 et </w:t>
      </w:r>
      <w:r w:rsidRPr="000A6AE9">
        <w:rPr>
          <w:rFonts w:ascii="Ebrima" w:hAnsi="Ebrima"/>
          <w:sz w:val="20"/>
          <w:szCs w:val="20"/>
        </w:rPr>
        <w:t>L.551-1 à L.551-2</w:t>
      </w:r>
      <w:r>
        <w:rPr>
          <w:rFonts w:ascii="Ebrima" w:hAnsi="Ebrima"/>
          <w:sz w:val="20"/>
          <w:szCs w:val="20"/>
        </w:rPr>
        <w:t>,</w:t>
      </w:r>
    </w:p>
    <w:p w:rsidR="006545A1" w:rsidRPr="006545A1" w:rsidRDefault="006545A1" w:rsidP="006545A1">
      <w:pPr>
        <w:jc w:val="both"/>
        <w:rPr>
          <w:rFonts w:ascii="Ebrima" w:hAnsi="Ebrima"/>
          <w:sz w:val="20"/>
          <w:szCs w:val="20"/>
        </w:rPr>
      </w:pPr>
    </w:p>
    <w:p w:rsidR="006545A1" w:rsidRPr="006545A1" w:rsidRDefault="002908E0" w:rsidP="006545A1">
      <w:pPr>
        <w:jc w:val="both"/>
        <w:rPr>
          <w:rFonts w:ascii="Ebrima" w:eastAsia="Calibri" w:hAnsi="Ebrima"/>
          <w:sz w:val="20"/>
          <w:szCs w:val="20"/>
          <w:lang w:eastAsia="en-US"/>
        </w:rPr>
      </w:pPr>
      <w:r>
        <w:rPr>
          <w:rFonts w:ascii="Ebrima" w:eastAsia="Calibri" w:hAnsi="Ebrima"/>
          <w:sz w:val="20"/>
          <w:szCs w:val="20"/>
          <w:lang w:eastAsia="en-US"/>
        </w:rPr>
        <w:t>Vu la loi n°</w:t>
      </w:r>
      <w:r w:rsidR="006545A1" w:rsidRPr="006545A1">
        <w:rPr>
          <w:rFonts w:ascii="Ebrima" w:eastAsia="Calibri" w:hAnsi="Ebrima"/>
          <w:sz w:val="20"/>
          <w:szCs w:val="20"/>
          <w:lang w:eastAsia="en-US"/>
        </w:rPr>
        <w:t>82-213 du 2 mars 1982 modifiée relative aux droits et libertés des communes, des départements et des ré</w:t>
      </w:r>
      <w:r w:rsidR="003716C2">
        <w:rPr>
          <w:rFonts w:ascii="Ebrima" w:eastAsia="Calibri" w:hAnsi="Ebrima"/>
          <w:sz w:val="20"/>
          <w:szCs w:val="20"/>
          <w:lang w:eastAsia="en-US"/>
        </w:rPr>
        <w:t>gions, notamment son article 1 ;</w:t>
      </w:r>
    </w:p>
    <w:p w:rsidR="00F10CC3" w:rsidRDefault="00F10CC3" w:rsidP="006545A1">
      <w:pPr>
        <w:jc w:val="both"/>
        <w:rPr>
          <w:rFonts w:ascii="Ebrima" w:hAnsi="Ebrima"/>
          <w:sz w:val="20"/>
          <w:szCs w:val="20"/>
        </w:rPr>
      </w:pPr>
    </w:p>
    <w:p w:rsidR="002908E0" w:rsidRDefault="002908E0" w:rsidP="002908E0">
      <w:pPr>
        <w:jc w:val="both"/>
        <w:rPr>
          <w:rFonts w:ascii="Ebrima" w:hAnsi="Ebrima"/>
          <w:sz w:val="20"/>
          <w:szCs w:val="20"/>
        </w:rPr>
      </w:pPr>
      <w:r>
        <w:rPr>
          <w:rFonts w:ascii="Ebrima" w:hAnsi="Ebrima"/>
          <w:sz w:val="20"/>
          <w:szCs w:val="20"/>
        </w:rPr>
        <w:t>Vu le décret n°</w:t>
      </w:r>
      <w:r w:rsidRPr="002908E0">
        <w:rPr>
          <w:rFonts w:ascii="Ebrima" w:hAnsi="Ebrima"/>
          <w:sz w:val="20"/>
          <w:szCs w:val="20"/>
        </w:rPr>
        <w:t xml:space="preserve">88-145 du 15 février 1988 modifié, pris pour l'application de l'article 136 de la loi du 26 janvier 1984 modifiée portant dispositions statutaires relatives à la fonction publique territoriale et relatif aux agents contractuels de la fonction publique territoriale, </w:t>
      </w:r>
    </w:p>
    <w:p w:rsidR="002908E0" w:rsidRPr="002908E0" w:rsidRDefault="002908E0" w:rsidP="002908E0">
      <w:pPr>
        <w:jc w:val="both"/>
        <w:rPr>
          <w:rFonts w:ascii="Ebrima" w:hAnsi="Ebrima"/>
          <w:sz w:val="20"/>
          <w:szCs w:val="20"/>
        </w:rPr>
      </w:pPr>
    </w:p>
    <w:p w:rsidR="002908E0" w:rsidRDefault="002908E0" w:rsidP="002908E0">
      <w:pPr>
        <w:jc w:val="both"/>
        <w:rPr>
          <w:rFonts w:ascii="Ebrima" w:hAnsi="Ebrima"/>
          <w:bCs/>
          <w:sz w:val="20"/>
          <w:szCs w:val="20"/>
        </w:rPr>
      </w:pPr>
      <w:r>
        <w:rPr>
          <w:rFonts w:ascii="Ebrima" w:hAnsi="Ebrima"/>
          <w:bCs/>
          <w:sz w:val="20"/>
          <w:szCs w:val="20"/>
        </w:rPr>
        <w:t>Vu l</w:t>
      </w:r>
      <w:r w:rsidRPr="002908E0">
        <w:rPr>
          <w:rFonts w:ascii="Ebrima" w:hAnsi="Ebrima"/>
          <w:bCs/>
          <w:sz w:val="20"/>
          <w:szCs w:val="20"/>
        </w:rPr>
        <w:t>e d</w:t>
      </w:r>
      <w:r>
        <w:rPr>
          <w:rFonts w:ascii="Ebrima" w:hAnsi="Ebrima"/>
          <w:bCs/>
          <w:sz w:val="20"/>
          <w:szCs w:val="20"/>
        </w:rPr>
        <w:t>écret n°</w:t>
      </w:r>
      <w:r w:rsidRPr="002908E0">
        <w:rPr>
          <w:rFonts w:ascii="Ebrima" w:hAnsi="Ebrima"/>
          <w:bCs/>
          <w:sz w:val="20"/>
          <w:szCs w:val="20"/>
        </w:rPr>
        <w:t>2009-1594 du 18 décembre 2009</w:t>
      </w:r>
      <w:r w:rsidRPr="002908E0">
        <w:rPr>
          <w:rFonts w:ascii="Ebrima" w:hAnsi="Ebrima"/>
          <w:sz w:val="20"/>
          <w:szCs w:val="20"/>
        </w:rPr>
        <w:t xml:space="preserve"> modifié</w:t>
      </w:r>
      <w:r w:rsidRPr="002908E0">
        <w:rPr>
          <w:rFonts w:ascii="Ebrima" w:hAnsi="Ebrima"/>
          <w:bCs/>
          <w:sz w:val="20"/>
          <w:szCs w:val="20"/>
        </w:rPr>
        <w:t xml:space="preserve"> instituant une indemnité de départ volontaire dans la fonction publique territoriale,</w:t>
      </w:r>
    </w:p>
    <w:p w:rsidR="002908E0" w:rsidRPr="002908E0" w:rsidRDefault="002908E0" w:rsidP="002908E0">
      <w:pPr>
        <w:jc w:val="both"/>
        <w:rPr>
          <w:rFonts w:ascii="Ebrima" w:hAnsi="Ebrima"/>
          <w:bCs/>
          <w:sz w:val="20"/>
          <w:szCs w:val="20"/>
        </w:rPr>
      </w:pPr>
    </w:p>
    <w:p w:rsidR="002908E0" w:rsidRDefault="002908E0" w:rsidP="002908E0">
      <w:pPr>
        <w:jc w:val="both"/>
        <w:rPr>
          <w:rFonts w:ascii="Ebrima" w:hAnsi="Ebrima"/>
          <w:sz w:val="20"/>
          <w:szCs w:val="20"/>
        </w:rPr>
      </w:pPr>
      <w:r>
        <w:rPr>
          <w:rFonts w:ascii="Ebrima" w:hAnsi="Ebrima"/>
          <w:bCs/>
          <w:sz w:val="20"/>
          <w:szCs w:val="20"/>
        </w:rPr>
        <w:t>Vu l</w:t>
      </w:r>
      <w:r w:rsidRPr="002908E0">
        <w:rPr>
          <w:rFonts w:ascii="Ebrima" w:hAnsi="Ebrima"/>
          <w:bCs/>
          <w:sz w:val="20"/>
          <w:szCs w:val="20"/>
        </w:rPr>
        <w:t xml:space="preserve">e décret </w:t>
      </w:r>
      <w:r>
        <w:rPr>
          <w:rFonts w:ascii="Ebrima" w:hAnsi="Ebrima"/>
          <w:sz w:val="20"/>
          <w:szCs w:val="20"/>
        </w:rPr>
        <w:t>n°</w:t>
      </w:r>
      <w:r w:rsidRPr="002908E0">
        <w:rPr>
          <w:rFonts w:ascii="Ebrima" w:hAnsi="Ebrima"/>
          <w:sz w:val="20"/>
          <w:szCs w:val="20"/>
        </w:rPr>
        <w:t>2019-1596 du 31 décembre 2019 relatif à l’indemnité spécifique de rupture conventionnelle dans la fonction publique et portant diverses dispositions relatives aux dispositions indemnitaires d’accompagnement des agents dans leurs transitions professionnelles</w:t>
      </w:r>
      <w:r>
        <w:rPr>
          <w:rFonts w:ascii="Ebrima" w:hAnsi="Ebrima"/>
          <w:sz w:val="20"/>
          <w:szCs w:val="20"/>
        </w:rPr>
        <w:t>,</w:t>
      </w:r>
    </w:p>
    <w:p w:rsidR="002908E0" w:rsidRDefault="002908E0" w:rsidP="002908E0">
      <w:pPr>
        <w:jc w:val="both"/>
        <w:rPr>
          <w:rFonts w:ascii="Ebrima" w:hAnsi="Ebrima"/>
          <w:sz w:val="20"/>
          <w:szCs w:val="20"/>
        </w:rPr>
      </w:pPr>
    </w:p>
    <w:p w:rsidR="002908E0" w:rsidRPr="002908E0" w:rsidRDefault="002908E0" w:rsidP="002908E0">
      <w:pPr>
        <w:jc w:val="both"/>
        <w:rPr>
          <w:rFonts w:ascii="Ebrima" w:hAnsi="Ebrima"/>
          <w:sz w:val="20"/>
          <w:szCs w:val="20"/>
        </w:rPr>
      </w:pPr>
      <w:r>
        <w:rPr>
          <w:rFonts w:ascii="Ebrima" w:hAnsi="Ebrima"/>
          <w:sz w:val="20"/>
          <w:szCs w:val="20"/>
        </w:rPr>
        <w:t xml:space="preserve">Vu l’avis du Comité social territorial, dans sa séance du </w:t>
      </w:r>
      <w:r w:rsidRPr="002908E0">
        <w:rPr>
          <w:rFonts w:ascii="Ebrima" w:hAnsi="Ebrima"/>
          <w:sz w:val="20"/>
          <w:szCs w:val="20"/>
          <w:highlight w:val="yellow"/>
        </w:rPr>
        <w:t>…</w:t>
      </w:r>
      <w:r>
        <w:rPr>
          <w:rFonts w:ascii="Ebrima" w:hAnsi="Ebrima"/>
          <w:sz w:val="20"/>
          <w:szCs w:val="20"/>
        </w:rPr>
        <w:t xml:space="preserve"> </w:t>
      </w:r>
      <w:r w:rsidRPr="002908E0">
        <w:rPr>
          <w:rFonts w:ascii="Ebrima" w:hAnsi="Ebrima"/>
          <w:i/>
          <w:sz w:val="20"/>
          <w:szCs w:val="20"/>
        </w:rPr>
        <w:t>(date)</w:t>
      </w:r>
    </w:p>
    <w:p w:rsidR="002908E0" w:rsidRDefault="002908E0" w:rsidP="006545A1">
      <w:pPr>
        <w:jc w:val="both"/>
        <w:rPr>
          <w:rFonts w:ascii="Ebrima" w:hAnsi="Ebrima"/>
          <w:sz w:val="20"/>
          <w:szCs w:val="20"/>
        </w:rPr>
      </w:pPr>
    </w:p>
    <w:p w:rsidR="00FB4711" w:rsidRPr="002908E0" w:rsidRDefault="006545A1" w:rsidP="006545A1">
      <w:pPr>
        <w:jc w:val="both"/>
        <w:rPr>
          <w:rFonts w:ascii="Ebrima" w:hAnsi="Ebrima"/>
          <w:sz w:val="20"/>
          <w:szCs w:val="20"/>
        </w:rPr>
      </w:pPr>
      <w:r w:rsidRPr="006545A1">
        <w:rPr>
          <w:rFonts w:ascii="Ebrima" w:hAnsi="Ebrima"/>
          <w:sz w:val="20"/>
          <w:szCs w:val="20"/>
        </w:rPr>
        <w:t>Considérant</w:t>
      </w:r>
      <w:r w:rsidRPr="006545A1">
        <w:rPr>
          <w:rFonts w:ascii="Ebrima" w:hAnsi="Ebrima"/>
          <w:i/>
          <w:sz w:val="20"/>
          <w:szCs w:val="20"/>
        </w:rPr>
        <w:t xml:space="preserve"> </w:t>
      </w:r>
      <w:r w:rsidR="002908E0" w:rsidRPr="002908E0">
        <w:rPr>
          <w:rFonts w:ascii="Ebrima" w:hAnsi="Ebrima"/>
          <w:sz w:val="20"/>
          <w:szCs w:val="20"/>
        </w:rPr>
        <w:t>l’intérêt de recourir à l’indemnité de départ volontaire pour accompagner la restructuration du service</w:t>
      </w:r>
      <w:r w:rsidR="002908E0">
        <w:rPr>
          <w:rFonts w:ascii="Ebrima" w:hAnsi="Ebrima"/>
          <w:i/>
          <w:sz w:val="20"/>
          <w:szCs w:val="20"/>
        </w:rPr>
        <w:t xml:space="preserve"> </w:t>
      </w:r>
      <w:r w:rsidR="002908E0" w:rsidRPr="002908E0">
        <w:rPr>
          <w:rFonts w:ascii="Ebrima" w:hAnsi="Ebrima"/>
          <w:i/>
          <w:sz w:val="20"/>
          <w:szCs w:val="20"/>
          <w:highlight w:val="yellow"/>
        </w:rPr>
        <w:t>…</w:t>
      </w:r>
      <w:r w:rsidR="002908E0">
        <w:rPr>
          <w:rFonts w:ascii="Ebrima" w:hAnsi="Ebrima"/>
          <w:i/>
          <w:sz w:val="20"/>
          <w:szCs w:val="20"/>
        </w:rPr>
        <w:t xml:space="preserve"> (dénomination du service concerné) </w:t>
      </w:r>
      <w:r w:rsidR="002908E0" w:rsidRPr="002908E0">
        <w:rPr>
          <w:rFonts w:ascii="Ebrima" w:hAnsi="Ebrima"/>
          <w:sz w:val="20"/>
          <w:szCs w:val="20"/>
        </w:rPr>
        <w:t>et favoriser</w:t>
      </w:r>
      <w:r w:rsidR="002908E0">
        <w:rPr>
          <w:rFonts w:ascii="Ebrima" w:hAnsi="Ebrima"/>
          <w:i/>
          <w:sz w:val="20"/>
          <w:szCs w:val="20"/>
        </w:rPr>
        <w:t xml:space="preserve"> </w:t>
      </w:r>
      <w:r w:rsidR="002908E0" w:rsidRPr="002908E0">
        <w:rPr>
          <w:rFonts w:ascii="Ebrima" w:hAnsi="Ebrima"/>
          <w:sz w:val="20"/>
          <w:szCs w:val="20"/>
        </w:rPr>
        <w:t>la transition professionnelle des agents qui y exercent</w:t>
      </w:r>
      <w:r w:rsidR="002908E0">
        <w:rPr>
          <w:rFonts w:ascii="Ebrima" w:hAnsi="Ebrima"/>
          <w:sz w:val="20"/>
          <w:szCs w:val="20"/>
        </w:rPr>
        <w:t xml:space="preserve"> leurs fonctions,</w:t>
      </w:r>
    </w:p>
    <w:p w:rsidR="002908E0" w:rsidRPr="006545A1" w:rsidRDefault="002908E0" w:rsidP="006545A1">
      <w:pPr>
        <w:jc w:val="both"/>
        <w:rPr>
          <w:rFonts w:ascii="Ebrima" w:hAnsi="Ebrima"/>
          <w:sz w:val="20"/>
          <w:szCs w:val="20"/>
        </w:rPr>
      </w:pPr>
    </w:p>
    <w:p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rsidTr="005E2A38">
        <w:trPr>
          <w:trHeight w:val="567"/>
        </w:trPr>
        <w:tc>
          <w:tcPr>
            <w:tcW w:w="3833" w:type="dxa"/>
            <w:shd w:val="clear" w:color="auto" w:fill="auto"/>
            <w:vAlign w:val="center"/>
          </w:tcPr>
          <w:p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rsidR="002B4387" w:rsidRPr="006545A1" w:rsidRDefault="002B4387" w:rsidP="00CB76BD">
            <w:pPr>
              <w:jc w:val="both"/>
              <w:rPr>
                <w:rFonts w:ascii="Ebrima" w:hAnsi="Ebrima"/>
                <w:i/>
                <w:sz w:val="20"/>
                <w:szCs w:val="20"/>
              </w:rPr>
            </w:pPr>
          </w:p>
        </w:tc>
      </w:tr>
      <w:tr w:rsidR="002B4387" w:rsidRPr="006545A1" w:rsidTr="005E2A38">
        <w:trPr>
          <w:trHeight w:val="567"/>
        </w:trPr>
        <w:tc>
          <w:tcPr>
            <w:tcW w:w="3833" w:type="dxa"/>
            <w:shd w:val="clear" w:color="auto" w:fill="auto"/>
            <w:vAlign w:val="center"/>
          </w:tcPr>
          <w:p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rsidR="002B4387" w:rsidRPr="006545A1" w:rsidRDefault="002B4387" w:rsidP="00CB76BD">
            <w:pPr>
              <w:jc w:val="both"/>
              <w:rPr>
                <w:rFonts w:ascii="Ebrima" w:hAnsi="Ebrima"/>
                <w:i/>
                <w:sz w:val="20"/>
                <w:szCs w:val="20"/>
              </w:rPr>
            </w:pPr>
          </w:p>
        </w:tc>
      </w:tr>
      <w:tr w:rsidR="002B4387" w:rsidRPr="006545A1" w:rsidTr="005E2A38">
        <w:trPr>
          <w:trHeight w:val="567"/>
        </w:trPr>
        <w:tc>
          <w:tcPr>
            <w:tcW w:w="3833" w:type="dxa"/>
            <w:shd w:val="clear" w:color="auto" w:fill="auto"/>
            <w:vAlign w:val="center"/>
          </w:tcPr>
          <w:p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rsidR="002B4387" w:rsidRPr="006545A1" w:rsidRDefault="002B4387" w:rsidP="00CB76BD">
            <w:pPr>
              <w:jc w:val="both"/>
              <w:rPr>
                <w:rFonts w:ascii="Ebrima" w:hAnsi="Ebrima"/>
                <w:i/>
                <w:sz w:val="20"/>
                <w:szCs w:val="20"/>
              </w:rPr>
            </w:pPr>
          </w:p>
        </w:tc>
      </w:tr>
      <w:tr w:rsidR="002B4387" w:rsidRPr="006545A1" w:rsidTr="005E2A38">
        <w:trPr>
          <w:trHeight w:val="567"/>
        </w:trPr>
        <w:tc>
          <w:tcPr>
            <w:tcW w:w="3833" w:type="dxa"/>
            <w:shd w:val="clear" w:color="auto" w:fill="auto"/>
            <w:vAlign w:val="center"/>
          </w:tcPr>
          <w:p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rsidR="002B4387" w:rsidRPr="006545A1" w:rsidRDefault="002B4387" w:rsidP="00CB76BD">
            <w:pPr>
              <w:jc w:val="both"/>
              <w:rPr>
                <w:rFonts w:ascii="Ebrima" w:hAnsi="Ebrima"/>
                <w:i/>
                <w:sz w:val="20"/>
                <w:szCs w:val="20"/>
              </w:rPr>
            </w:pPr>
          </w:p>
        </w:tc>
      </w:tr>
    </w:tbl>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both"/>
        <w:rPr>
          <w:rFonts w:ascii="Ebrima" w:hAnsi="Ebrima"/>
          <w:sz w:val="20"/>
          <w:szCs w:val="20"/>
        </w:rPr>
      </w:pPr>
    </w:p>
    <w:p w:rsidR="002B4387" w:rsidRPr="006545A1" w:rsidRDefault="002B4387" w:rsidP="00CB76BD">
      <w:pPr>
        <w:jc w:val="center"/>
        <w:rPr>
          <w:rFonts w:ascii="Ebrima" w:hAnsi="Ebrima"/>
          <w:b/>
          <w:sz w:val="20"/>
          <w:szCs w:val="20"/>
        </w:rPr>
      </w:pPr>
    </w:p>
    <w:p w:rsidR="002B4387" w:rsidRPr="00CB76BD" w:rsidRDefault="002B4387" w:rsidP="00CB76BD">
      <w:pPr>
        <w:jc w:val="center"/>
        <w:rPr>
          <w:rFonts w:ascii="Ebrima" w:hAnsi="Ebrima"/>
          <w:b/>
          <w:sz w:val="20"/>
          <w:szCs w:val="20"/>
        </w:rPr>
      </w:pPr>
      <w:r w:rsidRPr="00CB76BD">
        <w:rPr>
          <w:rFonts w:ascii="Ebrima" w:hAnsi="Ebrima"/>
          <w:b/>
          <w:sz w:val="20"/>
          <w:szCs w:val="20"/>
        </w:rPr>
        <w:t>DÉCIDE</w:t>
      </w:r>
    </w:p>
    <w:p w:rsidR="002B4387" w:rsidRPr="00CB76BD" w:rsidRDefault="002B4387" w:rsidP="00CB76BD">
      <w:pPr>
        <w:jc w:val="both"/>
        <w:rPr>
          <w:rFonts w:ascii="Ebrima" w:hAnsi="Ebrima"/>
          <w:sz w:val="20"/>
          <w:szCs w:val="20"/>
        </w:rPr>
      </w:pPr>
    </w:p>
    <w:p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rsidR="002B4387" w:rsidRPr="00CB76BD" w:rsidRDefault="002B4387" w:rsidP="00CB76BD">
      <w:pPr>
        <w:jc w:val="both"/>
        <w:rPr>
          <w:rFonts w:ascii="Ebrima" w:hAnsi="Ebrima"/>
          <w:sz w:val="20"/>
          <w:szCs w:val="20"/>
        </w:rPr>
      </w:pPr>
    </w:p>
    <w:p w:rsidR="002B4387" w:rsidRPr="002908E0" w:rsidRDefault="002908E0" w:rsidP="00CB76BD">
      <w:pPr>
        <w:jc w:val="both"/>
        <w:rPr>
          <w:rFonts w:ascii="Ebrima" w:hAnsi="Ebrima"/>
          <w:sz w:val="20"/>
          <w:szCs w:val="20"/>
        </w:rPr>
      </w:pPr>
      <w:r w:rsidRPr="002908E0">
        <w:rPr>
          <w:rFonts w:ascii="Ebrima" w:hAnsi="Ebrima"/>
          <w:sz w:val="20"/>
          <w:szCs w:val="20"/>
        </w:rPr>
        <w:t xml:space="preserve">D’instaurer l’indemnité de départ volontaire </w:t>
      </w:r>
    </w:p>
    <w:p w:rsidR="002908E0" w:rsidRPr="00CB76BD" w:rsidRDefault="002908E0" w:rsidP="00CB76BD">
      <w:pPr>
        <w:jc w:val="both"/>
        <w:rPr>
          <w:rFonts w:ascii="Ebrima" w:hAnsi="Ebrima"/>
          <w:i/>
          <w:sz w:val="20"/>
          <w:szCs w:val="20"/>
        </w:rPr>
      </w:pPr>
    </w:p>
    <w:p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rsidR="002B4387" w:rsidRDefault="002B4387" w:rsidP="00CB76BD">
      <w:pPr>
        <w:jc w:val="both"/>
        <w:rPr>
          <w:rFonts w:ascii="Ebrima" w:hAnsi="Ebrima"/>
          <w:sz w:val="20"/>
          <w:szCs w:val="20"/>
        </w:rPr>
      </w:pPr>
    </w:p>
    <w:p w:rsidR="00351713" w:rsidRPr="00351713" w:rsidRDefault="00351713" w:rsidP="00351713">
      <w:pPr>
        <w:jc w:val="both"/>
        <w:rPr>
          <w:rFonts w:ascii="Ebrima" w:eastAsia="Calibri" w:hAnsi="Ebrima"/>
          <w:bCs/>
          <w:i/>
          <w:sz w:val="20"/>
          <w:szCs w:val="20"/>
          <w:lang w:eastAsia="en-US"/>
        </w:rPr>
      </w:pPr>
      <w:r>
        <w:rPr>
          <w:rFonts w:ascii="Ebrima" w:eastAsia="Calibri" w:hAnsi="Ebrima"/>
          <w:bCs/>
          <w:sz w:val="20"/>
          <w:szCs w:val="20"/>
          <w:lang w:eastAsia="en-US"/>
        </w:rPr>
        <w:t xml:space="preserve">Cette indemnité s’inscrit dans le cadre de l’opération de restructuration de </w:t>
      </w:r>
      <w:r w:rsidRPr="00351713">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351713">
        <w:rPr>
          <w:rFonts w:ascii="Ebrima" w:eastAsia="Calibri" w:hAnsi="Ebrima"/>
          <w:bCs/>
          <w:i/>
          <w:sz w:val="20"/>
          <w:szCs w:val="20"/>
          <w:lang w:eastAsia="en-US"/>
        </w:rPr>
        <w:t>(dénomination du secteur d’activité concerné)</w:t>
      </w:r>
    </w:p>
    <w:p w:rsidR="00351713" w:rsidRDefault="00351713" w:rsidP="00351713">
      <w:pPr>
        <w:jc w:val="both"/>
        <w:rPr>
          <w:rFonts w:ascii="Ebrima" w:eastAsia="Calibri" w:hAnsi="Ebrima"/>
          <w:bCs/>
          <w:sz w:val="20"/>
          <w:szCs w:val="20"/>
          <w:lang w:eastAsia="en-US"/>
        </w:rPr>
      </w:pPr>
    </w:p>
    <w:p w:rsidR="00351713" w:rsidRDefault="00351713" w:rsidP="00351713">
      <w:pPr>
        <w:jc w:val="both"/>
        <w:rPr>
          <w:rFonts w:ascii="Ebrima" w:eastAsia="Calibri" w:hAnsi="Ebrima"/>
          <w:bCs/>
          <w:i/>
          <w:sz w:val="20"/>
          <w:szCs w:val="20"/>
          <w:lang w:eastAsia="en-US"/>
        </w:rPr>
      </w:pPr>
      <w:r>
        <w:rPr>
          <w:rFonts w:ascii="Ebrima" w:eastAsia="Calibri" w:hAnsi="Ebrima"/>
          <w:bCs/>
          <w:sz w:val="20"/>
          <w:szCs w:val="20"/>
          <w:lang w:eastAsia="en-US"/>
        </w:rPr>
        <w:t xml:space="preserve">Elle </w:t>
      </w:r>
      <w:r w:rsidRPr="00F10CC3">
        <w:rPr>
          <w:rFonts w:ascii="Ebrima" w:eastAsia="Calibri" w:hAnsi="Ebrima"/>
          <w:bCs/>
          <w:sz w:val="20"/>
          <w:szCs w:val="20"/>
          <w:lang w:eastAsia="en-US"/>
        </w:rPr>
        <w:t>s’appliquera à</w:t>
      </w:r>
      <w:r>
        <w:rPr>
          <w:rFonts w:ascii="Ebrima" w:eastAsia="Calibri" w:hAnsi="Ebrima"/>
          <w:bCs/>
          <w:i/>
          <w:sz w:val="20"/>
          <w:szCs w:val="20"/>
          <w:lang w:eastAsia="en-US"/>
        </w:rPr>
        <w:t> :</w:t>
      </w:r>
    </w:p>
    <w:p w:rsidR="00351713" w:rsidRDefault="00351713" w:rsidP="00351713">
      <w:pPr>
        <w:jc w:val="both"/>
        <w:rPr>
          <w:rFonts w:ascii="Ebrima" w:eastAsia="Calibri" w:hAnsi="Ebrima"/>
          <w:bCs/>
          <w:i/>
          <w:sz w:val="20"/>
          <w:szCs w:val="20"/>
          <w:lang w:eastAsia="en-US"/>
        </w:rPr>
      </w:pPr>
    </w:p>
    <w:p w:rsidR="00351713" w:rsidRPr="00F10CC3" w:rsidRDefault="00351713" w:rsidP="0035171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Service(s)</w:t>
      </w:r>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351713" w:rsidRPr="00F10CC3" w:rsidRDefault="00351713" w:rsidP="0035171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 xml:space="preserve">Cadre(s) </w:t>
      </w:r>
      <w:proofErr w:type="spellStart"/>
      <w:r w:rsidRPr="00F10CC3">
        <w:rPr>
          <w:rFonts w:ascii="Ebrima" w:eastAsia="Calibri" w:hAnsi="Ebrima"/>
          <w:bCs/>
          <w:i/>
          <w:sz w:val="20"/>
          <w:szCs w:val="20"/>
          <w:lang w:val="en-US" w:eastAsia="en-US"/>
        </w:rPr>
        <w:t>d’emplois</w:t>
      </w:r>
      <w:proofErr w:type="spellEnd"/>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351713" w:rsidRPr="00F10CC3" w:rsidRDefault="00351713" w:rsidP="00351713">
      <w:pPr>
        <w:pStyle w:val="Paragraphedeliste"/>
        <w:numPr>
          <w:ilvl w:val="0"/>
          <w:numId w:val="17"/>
        </w:numPr>
        <w:jc w:val="both"/>
        <w:rPr>
          <w:rFonts w:ascii="Ebrima" w:eastAsia="Calibri" w:hAnsi="Ebrima"/>
          <w:bCs/>
          <w:i/>
          <w:sz w:val="20"/>
          <w:szCs w:val="20"/>
          <w:lang w:val="en-US" w:eastAsia="en-US"/>
        </w:rPr>
      </w:pPr>
      <w:r w:rsidRPr="00F10CC3">
        <w:rPr>
          <w:rFonts w:ascii="Ebrima" w:eastAsia="Calibri" w:hAnsi="Ebrima"/>
          <w:bCs/>
          <w:i/>
          <w:sz w:val="20"/>
          <w:szCs w:val="20"/>
          <w:lang w:val="en-US" w:eastAsia="en-US"/>
        </w:rPr>
        <w:t>Grade(s)</w:t>
      </w:r>
      <w:r>
        <w:rPr>
          <w:rFonts w:ascii="Ebrima" w:eastAsia="Calibri" w:hAnsi="Ebrima"/>
          <w:bCs/>
          <w:i/>
          <w:sz w:val="20"/>
          <w:szCs w:val="20"/>
          <w:lang w:val="en-US" w:eastAsia="en-US"/>
        </w:rPr>
        <w:t xml:space="preserve">: </w:t>
      </w:r>
      <w:r w:rsidRPr="00F10CC3">
        <w:rPr>
          <w:rFonts w:ascii="Ebrima" w:eastAsia="Calibri" w:hAnsi="Ebrima"/>
          <w:bCs/>
          <w:i/>
          <w:sz w:val="20"/>
          <w:szCs w:val="20"/>
          <w:highlight w:val="yellow"/>
          <w:lang w:val="en-US" w:eastAsia="en-US"/>
        </w:rPr>
        <w:t>…</w:t>
      </w:r>
    </w:p>
    <w:p w:rsidR="00A434C1" w:rsidRPr="00CB76BD" w:rsidRDefault="00A434C1" w:rsidP="00CB76BD">
      <w:pPr>
        <w:jc w:val="both"/>
        <w:rPr>
          <w:rFonts w:ascii="Ebrima" w:hAnsi="Ebrima" w:cs="Arial"/>
          <w:sz w:val="20"/>
          <w:szCs w:val="20"/>
        </w:rPr>
      </w:pPr>
    </w:p>
    <w:p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rsidR="00CB76BD" w:rsidRDefault="00CB76BD" w:rsidP="00CB76BD">
      <w:pPr>
        <w:jc w:val="both"/>
        <w:rPr>
          <w:rFonts w:ascii="Ebrima" w:hAnsi="Ebrima"/>
          <w:bCs/>
          <w:sz w:val="20"/>
          <w:szCs w:val="20"/>
        </w:rPr>
      </w:pPr>
    </w:p>
    <w:p w:rsidR="00351713" w:rsidRDefault="00351713" w:rsidP="00351713">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Le montant individuel attribué par l’autorité territoriale tiendra compte des critères suivants :</w:t>
      </w:r>
    </w:p>
    <w:p w:rsidR="00351713" w:rsidRDefault="00351713" w:rsidP="00351713">
      <w:pPr>
        <w:pStyle w:val="loose"/>
        <w:spacing w:before="0" w:beforeAutospacing="0" w:after="0" w:afterAutospacing="0"/>
        <w:jc w:val="both"/>
        <w:rPr>
          <w:rFonts w:ascii="Ebrima" w:eastAsia="Calibri" w:hAnsi="Ebrima"/>
          <w:bCs/>
          <w:sz w:val="20"/>
          <w:szCs w:val="20"/>
          <w:lang w:eastAsia="en-US"/>
        </w:rPr>
      </w:pPr>
    </w:p>
    <w:p w:rsidR="00351713" w:rsidRPr="00F10CC3" w:rsidRDefault="00351713" w:rsidP="00351713">
      <w:pPr>
        <w:pStyle w:val="loose"/>
        <w:spacing w:before="0" w:beforeAutospacing="0" w:after="0" w:afterAutospacing="0"/>
        <w:jc w:val="both"/>
        <w:rPr>
          <w:rFonts w:ascii="Ebrima" w:eastAsia="Calibri" w:hAnsi="Ebrima"/>
          <w:bCs/>
          <w:i/>
          <w:sz w:val="20"/>
          <w:szCs w:val="20"/>
          <w:lang w:eastAsia="en-US"/>
        </w:rPr>
      </w:pPr>
      <w:r>
        <w:rPr>
          <w:rFonts w:ascii="Ebrima" w:eastAsia="Calibri" w:hAnsi="Ebrima"/>
          <w:bCs/>
          <w:sz w:val="20"/>
          <w:szCs w:val="20"/>
          <w:highlight w:val="yellow"/>
          <w:lang w:eastAsia="en-US"/>
        </w:rPr>
        <w:t xml:space="preserve"> </w:t>
      </w:r>
      <w:r w:rsidRPr="00F10CC3">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F10CC3">
        <w:rPr>
          <w:rFonts w:ascii="Ebrima" w:eastAsia="Calibri" w:hAnsi="Ebrima"/>
          <w:bCs/>
          <w:i/>
          <w:sz w:val="20"/>
          <w:szCs w:val="20"/>
          <w:lang w:eastAsia="en-US"/>
        </w:rPr>
        <w:t>(</w:t>
      </w:r>
      <w:r>
        <w:rPr>
          <w:rFonts w:ascii="Ebrima" w:eastAsia="Calibri" w:hAnsi="Ebrima"/>
          <w:bCs/>
          <w:i/>
          <w:sz w:val="20"/>
          <w:szCs w:val="20"/>
          <w:lang w:eastAsia="en-US"/>
        </w:rPr>
        <w:t>F</w:t>
      </w:r>
      <w:r w:rsidRPr="00F10CC3">
        <w:rPr>
          <w:rFonts w:ascii="Ebrima" w:eastAsia="Calibri" w:hAnsi="Ebrima"/>
          <w:bCs/>
          <w:i/>
          <w:sz w:val="20"/>
          <w:szCs w:val="20"/>
          <w:lang w:eastAsia="en-US"/>
        </w:rPr>
        <w:t xml:space="preserve">ixation de critères qui tiennent compte selon le décret des orientations générales de </w:t>
      </w:r>
      <w:r>
        <w:rPr>
          <w:rFonts w:ascii="Ebrima" w:eastAsia="Calibri" w:hAnsi="Ebrima"/>
          <w:bCs/>
          <w:i/>
          <w:sz w:val="20"/>
          <w:szCs w:val="20"/>
          <w:lang w:eastAsia="en-US"/>
        </w:rPr>
        <w:t>l</w:t>
      </w:r>
      <w:r w:rsidRPr="00F10CC3">
        <w:rPr>
          <w:rFonts w:ascii="Ebrima" w:eastAsia="Calibri" w:hAnsi="Ebrima"/>
          <w:bCs/>
          <w:i/>
          <w:sz w:val="20"/>
          <w:szCs w:val="20"/>
          <w:lang w:eastAsia="en-US"/>
        </w:rPr>
        <w:t>a politique de gestion des ressources humaines et de l'ancienneté dans la collectivité ou l’établissement ou du grade détenu par l'agent.)</w:t>
      </w:r>
    </w:p>
    <w:p w:rsidR="00351713" w:rsidRDefault="00351713" w:rsidP="00CB76BD">
      <w:pPr>
        <w:jc w:val="both"/>
        <w:rPr>
          <w:rFonts w:ascii="Ebrima" w:hAnsi="Ebrima"/>
          <w:bCs/>
          <w:sz w:val="20"/>
          <w:szCs w:val="20"/>
        </w:rPr>
      </w:pPr>
    </w:p>
    <w:p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p>
    <w:p w:rsidR="00CB76BD" w:rsidRDefault="00CB76BD" w:rsidP="00CB76BD">
      <w:pPr>
        <w:jc w:val="both"/>
        <w:rPr>
          <w:rFonts w:ascii="Ebrima" w:hAnsi="Ebrima" w:cs="Arial"/>
          <w:sz w:val="20"/>
          <w:szCs w:val="20"/>
        </w:rPr>
      </w:pPr>
    </w:p>
    <w:p w:rsidR="00CB76BD" w:rsidRPr="00DE5FD9" w:rsidRDefault="00DE5FD9" w:rsidP="00CB76BD">
      <w:pPr>
        <w:jc w:val="both"/>
        <w:rPr>
          <w:rFonts w:ascii="Ebrima" w:hAnsi="Ebrima"/>
          <w:sz w:val="20"/>
          <w:szCs w:val="20"/>
        </w:rPr>
      </w:pPr>
      <w:r w:rsidRPr="00DE5FD9">
        <w:rPr>
          <w:rFonts w:ascii="Ebrima" w:hAnsi="Ebrima"/>
          <w:sz w:val="20"/>
          <w:szCs w:val="20"/>
        </w:rPr>
        <w:t xml:space="preserve">De </w:t>
      </w:r>
      <w:r>
        <w:rPr>
          <w:rFonts w:ascii="Ebrima" w:hAnsi="Ebrima"/>
          <w:sz w:val="20"/>
          <w:szCs w:val="20"/>
        </w:rPr>
        <w:t>fixer le délai de présentation de la</w:t>
      </w:r>
      <w:r w:rsidRPr="00DE5FD9">
        <w:rPr>
          <w:rFonts w:ascii="Ebrima" w:hAnsi="Ebrima"/>
          <w:sz w:val="20"/>
          <w:szCs w:val="20"/>
        </w:rPr>
        <w:t xml:space="preserve"> demande </w:t>
      </w:r>
      <w:r>
        <w:rPr>
          <w:rFonts w:ascii="Ebrima" w:hAnsi="Ebrima"/>
          <w:sz w:val="20"/>
          <w:szCs w:val="20"/>
        </w:rPr>
        <w:t xml:space="preserve">d’indemnité de départ volontaire à </w:t>
      </w:r>
      <w:r w:rsidRPr="00650F3C">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650F3C">
        <w:rPr>
          <w:rFonts w:ascii="Ebrima" w:eastAsia="Calibri" w:hAnsi="Ebrima"/>
          <w:bCs/>
          <w:i/>
          <w:sz w:val="20"/>
          <w:szCs w:val="20"/>
          <w:lang w:eastAsia="en-US"/>
        </w:rPr>
        <w:t>(nombre de semaines ou mois à définir)</w:t>
      </w:r>
      <w:r>
        <w:rPr>
          <w:rFonts w:eastAsia="Calibri"/>
        </w:rPr>
        <w:t xml:space="preserve"> </w:t>
      </w:r>
      <w:r w:rsidRPr="00650F3C">
        <w:rPr>
          <w:rFonts w:ascii="Ebrima" w:eastAsia="Calibri" w:hAnsi="Ebrima"/>
          <w:sz w:val="20"/>
          <w:szCs w:val="20"/>
        </w:rPr>
        <w:t>avant la date</w:t>
      </w:r>
      <w:r>
        <w:rPr>
          <w:rFonts w:ascii="Ebrima" w:eastAsia="Calibri" w:hAnsi="Ebrima"/>
          <w:sz w:val="20"/>
          <w:szCs w:val="20"/>
        </w:rPr>
        <w:t xml:space="preserve"> de démission envisagée par l’agent</w:t>
      </w:r>
      <w:r>
        <w:rPr>
          <w:rFonts w:ascii="Ebrima" w:eastAsia="Calibri" w:hAnsi="Ebrima"/>
          <w:sz w:val="20"/>
          <w:szCs w:val="20"/>
        </w:rPr>
        <w:t>.</w:t>
      </w:r>
    </w:p>
    <w:p w:rsidR="00DE5FD9" w:rsidRDefault="00DE5FD9" w:rsidP="00CB76BD">
      <w:pPr>
        <w:jc w:val="both"/>
        <w:rPr>
          <w:rFonts w:ascii="Ebrima" w:hAnsi="Ebrima"/>
          <w:b/>
          <w:sz w:val="20"/>
          <w:szCs w:val="20"/>
        </w:rPr>
      </w:pPr>
    </w:p>
    <w:p w:rsidR="00651AC3" w:rsidRPr="00CB76BD" w:rsidRDefault="00651AC3" w:rsidP="00CB76BD">
      <w:pPr>
        <w:jc w:val="both"/>
        <w:rPr>
          <w:rFonts w:ascii="Ebrima" w:hAnsi="Ebrima"/>
          <w:b/>
          <w:sz w:val="20"/>
          <w:szCs w:val="20"/>
        </w:rPr>
      </w:pPr>
      <w:r w:rsidRPr="00CB76BD">
        <w:rPr>
          <w:rFonts w:ascii="Ebrima" w:hAnsi="Ebrima"/>
          <w:b/>
          <w:sz w:val="20"/>
          <w:szCs w:val="20"/>
        </w:rPr>
        <w:t>Article 5 :</w:t>
      </w:r>
    </w:p>
    <w:p w:rsidR="00651AC3" w:rsidRDefault="00651AC3" w:rsidP="00CB76BD">
      <w:pPr>
        <w:jc w:val="both"/>
        <w:rPr>
          <w:rFonts w:ascii="Ebrima" w:hAnsi="Ebrima"/>
          <w:sz w:val="20"/>
          <w:szCs w:val="20"/>
        </w:rPr>
      </w:pPr>
    </w:p>
    <w:p w:rsidR="008F1E54" w:rsidRDefault="008F1E54" w:rsidP="00CB76BD">
      <w:pPr>
        <w:jc w:val="both"/>
        <w:rPr>
          <w:rFonts w:ascii="Ebrima" w:hAnsi="Ebrima"/>
          <w:sz w:val="20"/>
          <w:szCs w:val="20"/>
        </w:rPr>
      </w:pPr>
      <w:r>
        <w:rPr>
          <w:rFonts w:ascii="Ebrima" w:hAnsi="Ebrima"/>
          <w:sz w:val="20"/>
          <w:szCs w:val="20"/>
        </w:rPr>
        <w:t>De fixer le plafond de l’indemnité de départ volontaire au maximum au double de la rémunération brute annuelle perçue par l’agent au cours de l’année civile précédant celle du dépôt de sa demande de démission. Si un agent a perçu une rémunération seulement sur certains mois de l’année civile précédant sa demande de démission, le montant de la rémunération brute annuelle pris en compte ne concernera que ces mois.</w:t>
      </w:r>
      <w:bookmarkStart w:id="0" w:name="_GoBack"/>
      <w:bookmarkEnd w:id="0"/>
    </w:p>
    <w:p w:rsidR="008F1E54" w:rsidRDefault="008F1E54" w:rsidP="00CB76BD">
      <w:pPr>
        <w:jc w:val="both"/>
        <w:rPr>
          <w:rFonts w:ascii="Ebrima" w:hAnsi="Ebrima"/>
          <w:sz w:val="20"/>
          <w:szCs w:val="20"/>
        </w:rPr>
      </w:pPr>
    </w:p>
    <w:p w:rsidR="008F1E54" w:rsidRPr="008F1E54" w:rsidRDefault="008F1E54" w:rsidP="00CB76BD">
      <w:pPr>
        <w:jc w:val="both"/>
        <w:rPr>
          <w:rFonts w:ascii="Ebrima" w:hAnsi="Ebrima"/>
          <w:b/>
          <w:sz w:val="20"/>
          <w:szCs w:val="20"/>
        </w:rPr>
      </w:pPr>
      <w:r w:rsidRPr="008F1E54">
        <w:rPr>
          <w:rFonts w:ascii="Ebrima" w:hAnsi="Ebrima"/>
          <w:b/>
          <w:sz w:val="20"/>
          <w:szCs w:val="20"/>
        </w:rPr>
        <w:t>Article 6 :</w:t>
      </w:r>
    </w:p>
    <w:p w:rsidR="008F1E54" w:rsidRPr="00CB76BD" w:rsidRDefault="008F1E54" w:rsidP="00CB76BD">
      <w:pPr>
        <w:jc w:val="both"/>
        <w:rPr>
          <w:rFonts w:ascii="Ebrima" w:hAnsi="Ebrima"/>
          <w:sz w:val="20"/>
          <w:szCs w:val="20"/>
        </w:rPr>
      </w:pPr>
    </w:p>
    <w:p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rsidR="002B4387" w:rsidRPr="00CB76BD" w:rsidRDefault="002B4387" w:rsidP="00CB76BD">
      <w:pPr>
        <w:jc w:val="both"/>
        <w:rPr>
          <w:rFonts w:ascii="Ebrima" w:hAnsi="Ebrima"/>
          <w:sz w:val="20"/>
          <w:szCs w:val="20"/>
        </w:rPr>
      </w:pPr>
    </w:p>
    <w:p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8F1E54">
        <w:rPr>
          <w:rFonts w:ascii="Ebrima" w:hAnsi="Ebrima"/>
          <w:b/>
          <w:sz w:val="20"/>
          <w:szCs w:val="20"/>
        </w:rPr>
        <w:t>7</w:t>
      </w:r>
      <w:r w:rsidRPr="00CB76BD">
        <w:rPr>
          <w:rFonts w:ascii="Ebrima" w:hAnsi="Ebrima"/>
          <w:b/>
          <w:sz w:val="20"/>
          <w:szCs w:val="20"/>
        </w:rPr>
        <w:t xml:space="preserve"> :</w:t>
      </w:r>
    </w:p>
    <w:p w:rsidR="002B4387" w:rsidRPr="00CB76BD" w:rsidRDefault="002B4387" w:rsidP="00CB76BD">
      <w:pPr>
        <w:jc w:val="both"/>
        <w:rPr>
          <w:rFonts w:ascii="Ebrima" w:eastAsia="Times" w:hAnsi="Ebrima" w:cs="Arial"/>
          <w:sz w:val="20"/>
          <w:szCs w:val="20"/>
        </w:rPr>
      </w:pPr>
    </w:p>
    <w:p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rsidR="002B4387" w:rsidRPr="00CB76BD" w:rsidRDefault="002B4387" w:rsidP="00CB76BD">
      <w:pPr>
        <w:jc w:val="both"/>
        <w:rPr>
          <w:rFonts w:ascii="Ebrima" w:hAnsi="Ebrima"/>
          <w:sz w:val="20"/>
          <w:szCs w:val="20"/>
        </w:rPr>
      </w:pPr>
    </w:p>
    <w:p w:rsidR="002B4387" w:rsidRPr="00CB76BD" w:rsidRDefault="002B4387" w:rsidP="00CB76BD">
      <w:pPr>
        <w:jc w:val="both"/>
        <w:rPr>
          <w:rFonts w:ascii="Ebrima" w:hAnsi="Ebrima"/>
          <w:sz w:val="20"/>
          <w:szCs w:val="20"/>
        </w:rPr>
      </w:pPr>
    </w:p>
    <w:p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rsidR="00CB76BD" w:rsidRPr="00680039" w:rsidRDefault="00CB76BD" w:rsidP="00CB76BD">
      <w:pPr>
        <w:jc w:val="both"/>
        <w:rPr>
          <w:rFonts w:ascii="Ebrima" w:hAnsi="Ebrima"/>
          <w:sz w:val="20"/>
          <w:szCs w:val="20"/>
          <w:highlight w:val="cyan"/>
        </w:rPr>
      </w:pPr>
    </w:p>
    <w:p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rsidR="00CB76BD" w:rsidRPr="00680039" w:rsidRDefault="00CB76BD" w:rsidP="00CB76BD">
      <w:pPr>
        <w:ind w:right="140"/>
        <w:jc w:val="both"/>
        <w:rPr>
          <w:rFonts w:ascii="Ebrima" w:hAnsi="Ebrima" w:cs="Arial"/>
          <w:color w:val="000000"/>
          <w:sz w:val="20"/>
          <w:szCs w:val="20"/>
        </w:rPr>
      </w:pPr>
    </w:p>
    <w:p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rsidR="00CB76BD" w:rsidRPr="00680039" w:rsidRDefault="00CB76BD" w:rsidP="00CB76BD">
      <w:pPr>
        <w:ind w:right="140"/>
        <w:jc w:val="both"/>
        <w:rPr>
          <w:rFonts w:ascii="Ebrima" w:hAnsi="Ebrima" w:cs="Arial"/>
          <w:color w:val="000000"/>
          <w:sz w:val="20"/>
          <w:szCs w:val="20"/>
        </w:rPr>
      </w:pPr>
    </w:p>
    <w:p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rsidR="00CB76BD" w:rsidRPr="00680039" w:rsidRDefault="00CB76BD" w:rsidP="00CB76BD">
      <w:pPr>
        <w:pStyle w:val="Pieddepage"/>
        <w:jc w:val="both"/>
        <w:rPr>
          <w:rFonts w:ascii="Ebrima" w:hAnsi="Ebrima"/>
          <w:sz w:val="20"/>
          <w:szCs w:val="20"/>
        </w:rPr>
      </w:pPr>
    </w:p>
    <w:p w:rsidR="00CB76BD" w:rsidRPr="00680039" w:rsidRDefault="00CB76BD" w:rsidP="00CB76BD">
      <w:pPr>
        <w:jc w:val="both"/>
        <w:rPr>
          <w:rFonts w:ascii="Ebrima" w:hAnsi="Ebrima"/>
          <w:bCs/>
          <w:sz w:val="20"/>
          <w:szCs w:val="20"/>
        </w:rPr>
      </w:pPr>
    </w:p>
    <w:p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rsidR="00CB76BD" w:rsidRPr="00680039" w:rsidRDefault="00CB76BD" w:rsidP="00CB76BD">
      <w:pPr>
        <w:ind w:right="140"/>
        <w:jc w:val="center"/>
        <w:rPr>
          <w:rFonts w:ascii="Ebrima" w:hAnsi="Ebrima" w:cs="Arial"/>
          <w:color w:val="000000"/>
          <w:sz w:val="20"/>
          <w:szCs w:val="20"/>
        </w:rPr>
      </w:pPr>
    </w:p>
    <w:p w:rsidR="00CB76BD" w:rsidRPr="00680039" w:rsidRDefault="00CB76BD" w:rsidP="00CB76BD">
      <w:pPr>
        <w:ind w:right="140"/>
        <w:jc w:val="center"/>
        <w:rPr>
          <w:rFonts w:ascii="Ebrima" w:hAnsi="Ebrima" w:cs="Arial"/>
          <w:color w:val="000000"/>
          <w:sz w:val="20"/>
          <w:szCs w:val="20"/>
        </w:rPr>
      </w:pPr>
    </w:p>
    <w:p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rsidR="00CB76BD" w:rsidRPr="00680039" w:rsidRDefault="00CB76BD" w:rsidP="00CB76BD">
      <w:pPr>
        <w:ind w:right="140"/>
        <w:jc w:val="both"/>
        <w:rPr>
          <w:rFonts w:ascii="Ebrima" w:hAnsi="Ebrima" w:cs="Arial"/>
          <w:color w:val="000000"/>
          <w:sz w:val="20"/>
          <w:szCs w:val="20"/>
        </w:rPr>
      </w:pPr>
    </w:p>
    <w:p w:rsidR="00CB76BD" w:rsidRPr="00680039" w:rsidRDefault="00CB76BD" w:rsidP="00CB76BD">
      <w:pPr>
        <w:ind w:right="140"/>
        <w:jc w:val="both"/>
        <w:rPr>
          <w:rFonts w:ascii="Ebrima" w:hAnsi="Ebrima" w:cs="Arial"/>
          <w:color w:val="000000"/>
          <w:sz w:val="20"/>
          <w:szCs w:val="20"/>
        </w:rPr>
      </w:pPr>
    </w:p>
    <w:p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23" w:rsidRDefault="002F6A23" w:rsidP="00617C71">
      <w:r>
        <w:separator/>
      </w:r>
    </w:p>
  </w:endnote>
  <w:endnote w:type="continuationSeparator" w:id="0">
    <w:p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altName w:val="Wing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23" w:rsidRDefault="002F6A23" w:rsidP="00617C71">
      <w:r>
        <w:separator/>
      </w:r>
    </w:p>
  </w:footnote>
  <w:footnote w:type="continuationSeparator" w:id="0">
    <w:p w:rsidR="002F6A23" w:rsidRDefault="002F6A23" w:rsidP="00617C71">
      <w:r>
        <w:continuationSeparator/>
      </w:r>
    </w:p>
  </w:footnote>
  <w:footnote w:id="1">
    <w:p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641C"/>
    <w:multiLevelType w:val="hybridMultilevel"/>
    <w:tmpl w:val="9BD277D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33A84"/>
    <w:multiLevelType w:val="hybridMultilevel"/>
    <w:tmpl w:val="1E24B90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02C82"/>
    <w:multiLevelType w:val="hybridMultilevel"/>
    <w:tmpl w:val="AD8A2FDA"/>
    <w:lvl w:ilvl="0" w:tplc="14F2E18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E6390B"/>
    <w:multiLevelType w:val="hybridMultilevel"/>
    <w:tmpl w:val="104465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6"/>
  </w:num>
  <w:num w:numId="6">
    <w:abstractNumId w:val="1"/>
  </w:num>
  <w:num w:numId="7">
    <w:abstractNumId w:val="14"/>
  </w:num>
  <w:num w:numId="8">
    <w:abstractNumId w:val="8"/>
  </w:num>
  <w:num w:numId="9">
    <w:abstractNumId w:val="7"/>
  </w:num>
  <w:num w:numId="10">
    <w:abstractNumId w:val="2"/>
  </w:num>
  <w:num w:numId="11">
    <w:abstractNumId w:val="16"/>
  </w:num>
  <w:num w:numId="12">
    <w:abstractNumId w:val="4"/>
  </w:num>
  <w:num w:numId="13">
    <w:abstractNumId w:val="9"/>
  </w:num>
  <w:num w:numId="14">
    <w:abstractNumId w:val="13"/>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24A1A"/>
    <w:rsid w:val="00060264"/>
    <w:rsid w:val="0006114E"/>
    <w:rsid w:val="00061A36"/>
    <w:rsid w:val="000863F2"/>
    <w:rsid w:val="000B3EBC"/>
    <w:rsid w:val="000B64E6"/>
    <w:rsid w:val="000D3B77"/>
    <w:rsid w:val="000F560F"/>
    <w:rsid w:val="00104EAC"/>
    <w:rsid w:val="00112946"/>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15D15"/>
    <w:rsid w:val="00216E72"/>
    <w:rsid w:val="00237361"/>
    <w:rsid w:val="00244619"/>
    <w:rsid w:val="00264E8F"/>
    <w:rsid w:val="00264FDE"/>
    <w:rsid w:val="00271AEC"/>
    <w:rsid w:val="002811DA"/>
    <w:rsid w:val="00286979"/>
    <w:rsid w:val="002908E0"/>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51713"/>
    <w:rsid w:val="00353E63"/>
    <w:rsid w:val="00364B38"/>
    <w:rsid w:val="00370B5E"/>
    <w:rsid w:val="003716C2"/>
    <w:rsid w:val="00383AEF"/>
    <w:rsid w:val="00390B4A"/>
    <w:rsid w:val="00395230"/>
    <w:rsid w:val="003C65FF"/>
    <w:rsid w:val="00400511"/>
    <w:rsid w:val="00417AE0"/>
    <w:rsid w:val="00417C20"/>
    <w:rsid w:val="00430897"/>
    <w:rsid w:val="004357C8"/>
    <w:rsid w:val="00436019"/>
    <w:rsid w:val="00436B57"/>
    <w:rsid w:val="0044365B"/>
    <w:rsid w:val="00453030"/>
    <w:rsid w:val="00456C0A"/>
    <w:rsid w:val="00466F1C"/>
    <w:rsid w:val="00483E5F"/>
    <w:rsid w:val="00487404"/>
    <w:rsid w:val="00487A3F"/>
    <w:rsid w:val="004A7A27"/>
    <w:rsid w:val="004B19A2"/>
    <w:rsid w:val="004C292F"/>
    <w:rsid w:val="004C537E"/>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0F3C"/>
    <w:rsid w:val="00651AC3"/>
    <w:rsid w:val="006545A1"/>
    <w:rsid w:val="0066103A"/>
    <w:rsid w:val="00662FE7"/>
    <w:rsid w:val="006667E7"/>
    <w:rsid w:val="006710C0"/>
    <w:rsid w:val="00684D52"/>
    <w:rsid w:val="00694091"/>
    <w:rsid w:val="006A7901"/>
    <w:rsid w:val="006D5B3F"/>
    <w:rsid w:val="006F591D"/>
    <w:rsid w:val="006F776E"/>
    <w:rsid w:val="00703846"/>
    <w:rsid w:val="00705C1A"/>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8F1E54"/>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80D16"/>
    <w:rsid w:val="00A976D5"/>
    <w:rsid w:val="00AA0A20"/>
    <w:rsid w:val="00AA49B2"/>
    <w:rsid w:val="00AB0035"/>
    <w:rsid w:val="00AD0589"/>
    <w:rsid w:val="00AD1513"/>
    <w:rsid w:val="00AD2D0B"/>
    <w:rsid w:val="00AE18B4"/>
    <w:rsid w:val="00AE4F28"/>
    <w:rsid w:val="00AE7BCE"/>
    <w:rsid w:val="00B14B40"/>
    <w:rsid w:val="00B236DD"/>
    <w:rsid w:val="00B45C84"/>
    <w:rsid w:val="00B50E3B"/>
    <w:rsid w:val="00B622F7"/>
    <w:rsid w:val="00B670D1"/>
    <w:rsid w:val="00B81228"/>
    <w:rsid w:val="00B83E62"/>
    <w:rsid w:val="00BB4FBF"/>
    <w:rsid w:val="00BC3735"/>
    <w:rsid w:val="00BE0AAC"/>
    <w:rsid w:val="00BE4B61"/>
    <w:rsid w:val="00C16E13"/>
    <w:rsid w:val="00C25216"/>
    <w:rsid w:val="00C26189"/>
    <w:rsid w:val="00C32AA6"/>
    <w:rsid w:val="00C3776E"/>
    <w:rsid w:val="00C41EF0"/>
    <w:rsid w:val="00C507A1"/>
    <w:rsid w:val="00C87016"/>
    <w:rsid w:val="00C93B58"/>
    <w:rsid w:val="00CA01B1"/>
    <w:rsid w:val="00CB76BD"/>
    <w:rsid w:val="00CD4F55"/>
    <w:rsid w:val="00CD7846"/>
    <w:rsid w:val="00CE59ED"/>
    <w:rsid w:val="00D013DC"/>
    <w:rsid w:val="00D30D25"/>
    <w:rsid w:val="00D31B27"/>
    <w:rsid w:val="00D340A1"/>
    <w:rsid w:val="00D50888"/>
    <w:rsid w:val="00D51405"/>
    <w:rsid w:val="00D57DA0"/>
    <w:rsid w:val="00D7716D"/>
    <w:rsid w:val="00D94265"/>
    <w:rsid w:val="00DA678A"/>
    <w:rsid w:val="00DA7061"/>
    <w:rsid w:val="00DB0859"/>
    <w:rsid w:val="00DD388A"/>
    <w:rsid w:val="00DD4ED2"/>
    <w:rsid w:val="00DD51B4"/>
    <w:rsid w:val="00DD6EC2"/>
    <w:rsid w:val="00DE5FD9"/>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71161"/>
    <w:rsid w:val="00E86FE7"/>
    <w:rsid w:val="00E901C1"/>
    <w:rsid w:val="00E97E53"/>
    <w:rsid w:val="00EB20BF"/>
    <w:rsid w:val="00EB7DA0"/>
    <w:rsid w:val="00F10CC3"/>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98D7-944F-4842-BD18-3B67355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232</TotalTime>
  <Pages>5</Pages>
  <Words>1486</Words>
  <Characters>8177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Modèle de délibération instaurant l'indemnité de départ volontaire</vt:lpstr>
    </vt:vector>
  </TitlesOfParts>
  <Manager>laurent.gougeon@cdg45.fr</Manager>
  <Company>CDG 45</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l'indemnité de départ volontaire</dc:title>
  <dc:creator>laurent.gougeon@cdg45.fr</dc:creator>
  <cp:keywords>Modèle, délibération;indemnité, départ;volontaire;fonction publique territoriale;cdg45</cp:keywords>
  <cp:lastModifiedBy>Laurent GOUGEON</cp:lastModifiedBy>
  <cp:revision>12</cp:revision>
  <cp:lastPrinted>2021-09-16T12:06:00Z</cp:lastPrinted>
  <dcterms:created xsi:type="dcterms:W3CDTF">2022-03-13T09:34:00Z</dcterms:created>
  <dcterms:modified xsi:type="dcterms:W3CDTF">2022-03-13T13:32:00Z</dcterms:modified>
</cp:coreProperties>
</file>