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4A08AF31" w:rsidR="00BA74E6" w:rsidRPr="00F2481D" w:rsidRDefault="00FA4747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 l’indemnité de mise sous pli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FF94F1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0364E030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7075CF81" w:rsidR="002F6A36" w:rsidRPr="00137D8F" w:rsidRDefault="00FA4747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attribution de l’indemnité de mise sous pli</w:t>
      </w:r>
    </w:p>
    <w:p w14:paraId="48B68AA3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FA4747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67E9FDCA" w:rsidR="00271AEC" w:rsidRPr="00137D8F" w:rsidRDefault="00271AEC" w:rsidP="00FA474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commune </w:t>
      </w:r>
      <w:r w:rsidR="00FA4747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s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auf si vous inscrivez ce nom en haut à gauche),</w:t>
      </w:r>
    </w:p>
    <w:p w14:paraId="6B498ABC" w14:textId="77777777" w:rsidR="00271AEC" w:rsidRPr="00137D8F" w:rsidRDefault="00271AEC" w:rsidP="00FA474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084A6C89" w:rsidR="00A65A0B" w:rsidRPr="00137D8F" w:rsidRDefault="00A65A0B" w:rsidP="00FA474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FA4747">
        <w:rPr>
          <w:rFonts w:ascii="Ebrima" w:hAnsi="Ebrima"/>
          <w:bCs/>
          <w:sz w:val="20"/>
          <w:szCs w:val="20"/>
        </w:rPr>
        <w:t xml:space="preserve"> L.2122-18</w:t>
      </w:r>
    </w:p>
    <w:bookmarkEnd w:id="1"/>
    <w:p w14:paraId="046952DA" w14:textId="1F68A152" w:rsidR="00EB20BF" w:rsidRDefault="00EB20BF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7F7490" w14:textId="77777777" w:rsidR="00E85274" w:rsidRPr="006545A1" w:rsidRDefault="00E85274" w:rsidP="00E8527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électoral, notamment son article R.34</w:t>
      </w:r>
    </w:p>
    <w:p w14:paraId="0C018CB3" w14:textId="77777777" w:rsidR="00E85274" w:rsidRDefault="00E85274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3F74385" w:rsidR="007624DA" w:rsidRPr="00137D8F" w:rsidRDefault="007624DA" w:rsidP="00FA474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FA4747">
        <w:rPr>
          <w:rFonts w:ascii="Ebrima" w:hAnsi="Ebrima"/>
          <w:bCs/>
          <w:sz w:val="20"/>
          <w:szCs w:val="20"/>
        </w:rPr>
        <w:t>L.714-4</w:t>
      </w:r>
    </w:p>
    <w:bookmarkEnd w:id="2"/>
    <w:p w14:paraId="68406B9D" w14:textId="77777777" w:rsidR="00E85274" w:rsidRDefault="00E85274" w:rsidP="00E85274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4B7BC71A" w14:textId="6D476D7E" w:rsidR="00EB20BF" w:rsidRPr="00137D8F" w:rsidRDefault="00EB20BF" w:rsidP="00E85274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2254109B" w14:textId="31C873FD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377506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n°91-875 du 6 septembre 1991 modifié pris pour l’application du premier alinéa de l’article 88 de la loi n°84-53 du 236 janvier 1984</w:t>
      </w:r>
    </w:p>
    <w:p w14:paraId="78914DE7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966983E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46E05">
        <w:rPr>
          <w:rFonts w:ascii="Ebrima" w:hAnsi="Ebrima"/>
          <w:sz w:val="20"/>
          <w:szCs w:val="20"/>
        </w:rPr>
        <w:t>Vu le décret n°2012-498 du 17 avril 2012 fixant les conditions d’attribution de l’indemnité de mise sous pli allouée</w:t>
      </w:r>
      <w:r>
        <w:rPr>
          <w:rFonts w:ascii="Ebrima" w:hAnsi="Ebrima"/>
          <w:sz w:val="20"/>
          <w:szCs w:val="20"/>
        </w:rPr>
        <w:t xml:space="preserve"> </w:t>
      </w:r>
      <w:r w:rsidRPr="00246E05">
        <w:rPr>
          <w:rFonts w:ascii="Ebrima" w:hAnsi="Ebrima"/>
          <w:sz w:val="20"/>
          <w:szCs w:val="20"/>
        </w:rPr>
        <w:t>à certains personnels de l’Etat à l’occasion des élections politiques,</w:t>
      </w:r>
    </w:p>
    <w:p w14:paraId="6FEB7024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63A0B64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l’arrêté </w:t>
      </w:r>
      <w:r w:rsidRPr="00235043">
        <w:rPr>
          <w:rFonts w:ascii="Ebrima" w:hAnsi="Ebrima"/>
          <w:sz w:val="20"/>
          <w:szCs w:val="20"/>
        </w:rPr>
        <w:t>NOR : IOCA1130752A</w:t>
      </w:r>
      <w:r>
        <w:rPr>
          <w:rFonts w:ascii="Ebrima" w:hAnsi="Ebrima"/>
          <w:sz w:val="20"/>
          <w:szCs w:val="20"/>
        </w:rPr>
        <w:t xml:space="preserve"> du 17 avril 2012 modifié </w:t>
      </w:r>
      <w:r w:rsidRPr="00235043">
        <w:rPr>
          <w:rFonts w:ascii="Ebrima" w:hAnsi="Ebrima"/>
          <w:sz w:val="20"/>
          <w:szCs w:val="20"/>
        </w:rPr>
        <w:t>fixant le plafond de l'indemnité de mise sous pli allouée à certains personnels de l'Etat à l'occasion des élections politiques</w:t>
      </w:r>
    </w:p>
    <w:p w14:paraId="72168D4B" w14:textId="77777777" w:rsidR="00FA4747" w:rsidRDefault="00FA4747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D105A7" w14:textId="46DC036F" w:rsidR="002F6A36" w:rsidRPr="00E85274" w:rsidRDefault="002F6A36" w:rsidP="00FA474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A804B2" w:rsidRPr="00137D8F">
        <w:rPr>
          <w:rFonts w:ascii="Ebrima" w:hAnsi="Ebrima"/>
          <w:sz w:val="20"/>
          <w:szCs w:val="20"/>
        </w:rPr>
        <w:t xml:space="preserve"> </w:t>
      </w:r>
      <w:r w:rsidR="00E85274">
        <w:rPr>
          <w:rFonts w:ascii="Ebrima" w:hAnsi="Ebrima"/>
          <w:sz w:val="20"/>
          <w:szCs w:val="20"/>
        </w:rPr>
        <w:t xml:space="preserve">que </w:t>
      </w:r>
      <w:r w:rsidR="00E85274" w:rsidRPr="002434A8">
        <w:rPr>
          <w:rFonts w:ascii="Ebrima" w:hAnsi="Ebrima"/>
          <w:i/>
          <w:iCs/>
          <w:sz w:val="20"/>
          <w:szCs w:val="20"/>
        </w:rPr>
        <w:t>Monsieur ou Madame</w:t>
      </w:r>
      <w:r w:rsidR="00E85274">
        <w:rPr>
          <w:rFonts w:ascii="Ebrima" w:hAnsi="Ebrima"/>
          <w:sz w:val="20"/>
          <w:szCs w:val="20"/>
        </w:rPr>
        <w:t xml:space="preserve"> </w:t>
      </w:r>
      <w:r w:rsidR="00E85274" w:rsidRPr="00E85274">
        <w:rPr>
          <w:rFonts w:ascii="Ebrima" w:hAnsi="Ebrima"/>
          <w:sz w:val="20"/>
          <w:szCs w:val="20"/>
          <w:highlight w:val="yellow"/>
        </w:rPr>
        <w:t>…</w:t>
      </w:r>
      <w:r w:rsidR="00E85274">
        <w:rPr>
          <w:rFonts w:ascii="Ebrima" w:hAnsi="Ebrima"/>
          <w:sz w:val="20"/>
          <w:szCs w:val="20"/>
        </w:rPr>
        <w:t xml:space="preserve"> </w:t>
      </w:r>
      <w:r w:rsidR="00E85274" w:rsidRPr="00E85274">
        <w:rPr>
          <w:rFonts w:ascii="Ebrima" w:hAnsi="Ebrima"/>
          <w:i/>
          <w:iCs/>
          <w:sz w:val="20"/>
          <w:szCs w:val="20"/>
        </w:rPr>
        <w:t>(prénom et nom de l’agent)</w:t>
      </w:r>
      <w:r w:rsidR="00E85274">
        <w:rPr>
          <w:rFonts w:ascii="Ebrima" w:hAnsi="Ebrima"/>
          <w:i/>
          <w:iCs/>
          <w:sz w:val="20"/>
          <w:szCs w:val="20"/>
        </w:rPr>
        <w:t xml:space="preserve"> </w:t>
      </w:r>
      <w:r w:rsidR="00E85274" w:rsidRPr="00E85274">
        <w:rPr>
          <w:rFonts w:ascii="Ebrima" w:hAnsi="Ebrima"/>
          <w:sz w:val="20"/>
          <w:szCs w:val="20"/>
        </w:rPr>
        <w:t xml:space="preserve">a participé à la mise sous pli de la propagande électorale </w:t>
      </w:r>
      <w:r w:rsidR="00E85274" w:rsidRPr="00E85274">
        <w:rPr>
          <w:rFonts w:ascii="Ebrima" w:hAnsi="Ebrima"/>
          <w:i/>
          <w:iCs/>
          <w:sz w:val="20"/>
          <w:szCs w:val="20"/>
        </w:rPr>
        <w:t xml:space="preserve">lors des élections </w:t>
      </w:r>
      <w:r w:rsidR="00E85274" w:rsidRPr="00E8527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85274" w:rsidRPr="00E85274">
        <w:rPr>
          <w:rStyle w:val="Appelnotedebasdep"/>
          <w:rFonts w:ascii="Ebrima" w:hAnsi="Ebrima"/>
          <w:i/>
          <w:iCs/>
          <w:sz w:val="20"/>
          <w:szCs w:val="20"/>
        </w:rPr>
        <w:footnoteReference w:id="1"/>
      </w:r>
      <w:r w:rsidR="00E85274" w:rsidRPr="00E85274">
        <w:rPr>
          <w:rFonts w:ascii="Ebrima" w:hAnsi="Ebrima"/>
          <w:i/>
          <w:iCs/>
          <w:sz w:val="20"/>
          <w:szCs w:val="20"/>
        </w:rPr>
        <w:t xml:space="preserve"> ou du référendum en date du </w:t>
      </w:r>
      <w:r w:rsidR="00E85274" w:rsidRPr="00E85274">
        <w:rPr>
          <w:rFonts w:ascii="Ebrima" w:hAnsi="Ebrima"/>
          <w:i/>
          <w:iCs/>
          <w:sz w:val="20"/>
          <w:szCs w:val="20"/>
          <w:highlight w:val="yellow"/>
        </w:rPr>
        <w:t>…</w:t>
      </w:r>
    </w:p>
    <w:p w14:paraId="2DD2AE96" w14:textId="77777777" w:rsidR="00AE7BCE" w:rsidRPr="00137D8F" w:rsidRDefault="00AE7BCE" w:rsidP="00FA4747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4A4D0B46" w:rsidR="009F5930" w:rsidRPr="002434A8" w:rsidRDefault="002434A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2434A8">
        <w:rPr>
          <w:rFonts w:ascii="Ebrima" w:hAnsi="Ebrima"/>
          <w:i/>
          <w:iCs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E85274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85274">
        <w:rPr>
          <w:rFonts w:ascii="Ebrima" w:hAnsi="Ebrima"/>
          <w:i/>
          <w:iCs/>
          <w:sz w:val="20"/>
          <w:szCs w:val="20"/>
        </w:rPr>
        <w:t>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2434A8">
        <w:rPr>
          <w:rFonts w:ascii="Ebrima" w:hAnsi="Ebrima"/>
          <w:sz w:val="20"/>
          <w:szCs w:val="20"/>
        </w:rPr>
        <w:t xml:space="preserve">percevra une indemnité de mise sous pli de la propagande électorale d’un montant de </w:t>
      </w:r>
      <w:r w:rsidRPr="002434A8">
        <w:rPr>
          <w:rFonts w:ascii="Ebrima" w:hAnsi="Ebrima"/>
          <w:sz w:val="20"/>
          <w:szCs w:val="20"/>
          <w:highlight w:val="yellow"/>
        </w:rPr>
        <w:t>…</w:t>
      </w:r>
      <w:r w:rsidRPr="002434A8">
        <w:rPr>
          <w:rFonts w:ascii="Ebrima" w:hAnsi="Ebrima"/>
          <w:sz w:val="20"/>
          <w:szCs w:val="20"/>
        </w:rPr>
        <w:t xml:space="preserve"> €</w:t>
      </w:r>
    </w:p>
    <w:p w14:paraId="55B0EB65" w14:textId="7F4355FB" w:rsidR="002434A8" w:rsidRDefault="002434A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5468BA6" w14:textId="77777777" w:rsidR="002434A8" w:rsidRDefault="002434A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8B65393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E85274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D6DED19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434A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2AA77F6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</w:t>
      </w:r>
      <w:r w:rsidR="002434A8">
        <w:rPr>
          <w:rFonts w:ascii="Ebrima" w:hAnsi="Ebrima"/>
          <w:bCs/>
          <w:i/>
          <w:sz w:val="20"/>
          <w:szCs w:val="20"/>
        </w:rPr>
        <w:t>)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C1287CA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434A8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6C98BA3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</w:t>
      </w:r>
      <w:r w:rsidR="002434A8">
        <w:rPr>
          <w:rFonts w:ascii="Ebrima" w:hAnsi="Ebrima" w:cs="Arial"/>
          <w:i/>
          <w:color w:val="000000" w:themeColor="text1"/>
          <w:sz w:val="20"/>
          <w:szCs w:val="20"/>
        </w:rPr>
        <w:t>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4CFE9ECA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FA4747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4AAD8A9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1C6849F5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A4747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FA4747" w:rsidRPr="00137D8F">
        <w:rPr>
          <w:rFonts w:ascii="Ebrima" w:hAnsi="Ebrima" w:cs="Arial"/>
          <w:i/>
          <w:color w:val="000000" w:themeColor="text1"/>
          <w:sz w:val="20"/>
          <w:szCs w:val="20"/>
        </w:rPr>
        <w:t>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7F6A32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763616F1" w14:textId="3F54147E" w:rsidR="00E85274" w:rsidRPr="00E85274" w:rsidRDefault="00E85274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E8527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85274">
        <w:rPr>
          <w:rFonts w:ascii="Ebrima" w:hAnsi="Ebrima"/>
          <w:i/>
          <w:iCs/>
          <w:sz w:val="18"/>
          <w:szCs w:val="18"/>
        </w:rPr>
        <w:t xml:space="preserve"> Présidentielles, législatives, européennes, régionales, départementales, municipales,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4707"/>
    <w:rsid w:val="00194A47"/>
    <w:rsid w:val="001979B5"/>
    <w:rsid w:val="001E5A42"/>
    <w:rsid w:val="001F61EB"/>
    <w:rsid w:val="00215D15"/>
    <w:rsid w:val="00237361"/>
    <w:rsid w:val="002434A8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5274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A474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64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de l'indemnité de mise sous pli</vt:lpstr>
    </vt:vector>
  </TitlesOfParts>
  <Manager>laurent.gougeon@cdg45.fr</Manager>
  <Company>CDG 45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de l'indemnité de mise sous pli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2022-09-07T10:57:00Z</dcterms:created>
  <dcterms:modified xsi:type="dcterms:W3CDTF">2022-09-07T12:05:00Z</dcterms:modified>
</cp:coreProperties>
</file>