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58BF152C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</w:t>
      </w:r>
      <w:r w:rsidR="00051AC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 suite à une disponibilité d’office dans l’attente d’une réintégration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570F8E1B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3C5A1B8C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7DFAC50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9A0FFF3" w14:textId="77777777" w:rsidR="00E268BB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65122543"/>
      <w:bookmarkEnd w:id="0"/>
      <w:bookmarkEnd w:id="1"/>
    </w:p>
    <w:p w14:paraId="406B303D" w14:textId="77777777" w:rsidR="00051AC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lastRenderedPageBreak/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>
        <w:rPr>
          <w:rFonts w:ascii="Ebrima" w:hAnsi="Ebrima"/>
          <w:sz w:val="20"/>
          <w:szCs w:val="20"/>
        </w:rPr>
        <w:t>fin</w:t>
      </w:r>
      <w:r w:rsidRPr="005E0BDC">
        <w:rPr>
          <w:rFonts w:ascii="Ebrima" w:hAnsi="Ebrima"/>
          <w:sz w:val="20"/>
          <w:szCs w:val="20"/>
        </w:rPr>
        <w:t xml:space="preserve">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</w:p>
    <w:p w14:paraId="3A17E18A" w14:textId="77777777" w:rsidR="00051ACC" w:rsidRDefault="00051ACC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6DB3ECDB" w14:textId="46490394" w:rsidR="00E268BB" w:rsidRPr="005E0BDC" w:rsidRDefault="00051ACC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portant</w:t>
      </w:r>
      <w:r w:rsidR="00E268BB">
        <w:rPr>
          <w:rFonts w:ascii="Ebrima" w:hAnsi="Ebrima" w:cs="Times New Roman"/>
          <w:sz w:val="20"/>
          <w:szCs w:val="20"/>
          <w:lang w:val="fr"/>
        </w:rPr>
        <w:t xml:space="preserve"> mise en disponibilité d’office dans l’attente d’une réintégration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/>
          <w:sz w:val="20"/>
          <w:szCs w:val="20"/>
        </w:rPr>
        <w:t xml:space="preserve">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="00E268BB">
        <w:rPr>
          <w:rFonts w:ascii="Ebrima" w:hAnsi="Ebrima" w:cs="Times New Roman"/>
          <w:sz w:val="20"/>
          <w:szCs w:val="20"/>
          <w:lang w:val="fr"/>
        </w:rPr>
        <w:t>,</w:t>
      </w:r>
    </w:p>
    <w:p w14:paraId="72D5546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50BB4274" w14:textId="77777777" w:rsidR="00051ACC" w:rsidRDefault="00051ACC" w:rsidP="00051AC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de proposition d’un emploi vacant correspondant au grade de l’agent au sein de </w:t>
      </w:r>
      <w:r w:rsidRPr="00E268BB">
        <w:rPr>
          <w:rFonts w:ascii="Ebrima" w:hAnsi="Ebrima"/>
          <w:i/>
          <w:iCs/>
        </w:rPr>
        <w:t>la collectivité ou l’établissement</w:t>
      </w:r>
    </w:p>
    <w:p w14:paraId="3AF14950" w14:textId="77777777" w:rsidR="00051ACC" w:rsidRDefault="00051ACC" w:rsidP="00051ACC">
      <w:pPr>
        <w:pStyle w:val="VuConsidrant"/>
        <w:spacing w:after="0"/>
        <w:rPr>
          <w:rFonts w:ascii="Ebrima" w:hAnsi="Ebrima"/>
        </w:rPr>
      </w:pPr>
    </w:p>
    <w:p w14:paraId="55964E7D" w14:textId="77777777" w:rsidR="00051ACC" w:rsidRPr="00E268BB" w:rsidRDefault="00051ACC" w:rsidP="00051AC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E268BB">
        <w:rPr>
          <w:rFonts w:ascii="Ebrima" w:hAnsi="Ebrima"/>
        </w:rPr>
        <w:t>a accepté l’emploi proposé,</w:t>
      </w:r>
    </w:p>
    <w:p w14:paraId="50B4E559" w14:textId="77777777" w:rsidR="00051ACC" w:rsidRPr="005E0BDC" w:rsidRDefault="00051ACC" w:rsidP="00E268BB">
      <w:pPr>
        <w:pStyle w:val="VuConsidrant"/>
        <w:spacing w:after="0"/>
        <w:rPr>
          <w:rFonts w:ascii="Ebrima" w:hAnsi="Ebrima"/>
        </w:rPr>
      </w:pPr>
    </w:p>
    <w:p w14:paraId="4F029574" w14:textId="6678E5D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>
        <w:rPr>
          <w:rFonts w:ascii="Ebrima" w:hAnsi="Ebrima"/>
        </w:rPr>
        <w:t xml:space="preserve"> intervient le terme initial du détachement sur l’emploi fonctionnel </w:t>
      </w:r>
      <w:r w:rsidRPr="005E0BDC">
        <w:rPr>
          <w:rFonts w:ascii="Ebrima" w:hAnsi="Ebrima"/>
        </w:rPr>
        <w:t xml:space="preserve">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</w:rPr>
        <w:t>et à brève échéance</w:t>
      </w:r>
      <w:bookmarkEnd w:id="2"/>
      <w:r>
        <w:rPr>
          <w:rFonts w:ascii="Ebrima" w:hAnsi="Ebrima"/>
        </w:rPr>
        <w:t xml:space="preserve">, </w:t>
      </w:r>
      <w:r w:rsidRPr="00235283">
        <w:rPr>
          <w:rFonts w:ascii="Ebrima" w:hAnsi="Ebrima"/>
          <w:iCs/>
        </w:rPr>
        <w:t xml:space="preserve">il </w:t>
      </w:r>
      <w:r>
        <w:rPr>
          <w:rFonts w:ascii="Ebrima" w:hAnsi="Ebrima"/>
          <w:iCs/>
        </w:rPr>
        <w:t xml:space="preserve">appartient à </w:t>
      </w:r>
      <w:r w:rsidRPr="00E268BB">
        <w:rPr>
          <w:rFonts w:ascii="Ebrima" w:hAnsi="Ebrima"/>
          <w:i/>
        </w:rPr>
        <w:t>la collectivité ou l’établissement</w:t>
      </w:r>
      <w:r>
        <w:rPr>
          <w:rFonts w:ascii="Ebrima" w:hAnsi="Ebrima"/>
          <w:iCs/>
        </w:rPr>
        <w:t xml:space="preserve"> de réintégrer l’agent sur </w:t>
      </w:r>
      <w:r w:rsidRPr="00235283">
        <w:rPr>
          <w:rFonts w:ascii="Ebrima" w:hAnsi="Ebrima"/>
          <w:iCs/>
        </w:rPr>
        <w:t xml:space="preserve">un emploi vacant correspondant </w:t>
      </w:r>
      <w:r>
        <w:rPr>
          <w:rFonts w:ascii="Ebrima" w:hAnsi="Ebrima"/>
          <w:iCs/>
        </w:rPr>
        <w:t>à son</w:t>
      </w:r>
      <w:r w:rsidRPr="00235283">
        <w:rPr>
          <w:rFonts w:ascii="Ebrima" w:hAnsi="Ebrima"/>
          <w:iCs/>
        </w:rPr>
        <w:t xml:space="preserve"> grade,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CCA35D" w14:textId="09E9706D" w:rsidR="00E268BB" w:rsidRPr="00337986" w:rsidRDefault="004B3492" w:rsidP="00E268B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bookmarkStart w:id="3" w:name="_Hlk163638331"/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 w:rsidR="00E268BB">
        <w:rPr>
          <w:rFonts w:ascii="Ebrima" w:hAnsi="Ebrima"/>
          <w:sz w:val="20"/>
          <w:szCs w:val="20"/>
        </w:rPr>
        <w:t xml:space="preserve">est réintégré(e) </w:t>
      </w:r>
      <w:bookmarkEnd w:id="3"/>
      <w:r w:rsidR="00E268BB" w:rsidRPr="00337986">
        <w:rPr>
          <w:rFonts w:ascii="Ebrima" w:hAnsi="Ebrima"/>
          <w:sz w:val="20"/>
          <w:szCs w:val="20"/>
        </w:rPr>
        <w:t xml:space="preserve">dans le cadre d’emplois des </w:t>
      </w:r>
      <w:r w:rsidR="00E268BB" w:rsidRPr="00337986">
        <w:rPr>
          <w:rFonts w:ascii="Ebrima" w:hAnsi="Ebrima"/>
          <w:sz w:val="20"/>
          <w:szCs w:val="20"/>
          <w:highlight w:val="yellow"/>
        </w:rPr>
        <w:t>…</w:t>
      </w:r>
      <w:r w:rsidR="00E268BB" w:rsidRPr="00337986">
        <w:rPr>
          <w:rFonts w:ascii="Ebrima" w:hAnsi="Ebrima"/>
          <w:sz w:val="20"/>
          <w:szCs w:val="20"/>
        </w:rPr>
        <w:t xml:space="preserve"> </w:t>
      </w:r>
      <w:r w:rsidR="00E268BB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E268BB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E268BB" w:rsidRPr="00337986">
        <w:rPr>
          <w:rFonts w:ascii="Ebrima" w:hAnsi="Ebrima"/>
          <w:sz w:val="20"/>
          <w:szCs w:val="20"/>
        </w:rPr>
        <w:t>et affecté</w:t>
      </w:r>
      <w:r w:rsidR="00E268BB" w:rsidRPr="00337986">
        <w:rPr>
          <w:rFonts w:ascii="Ebrima" w:hAnsi="Ebrima"/>
          <w:i/>
          <w:sz w:val="20"/>
          <w:szCs w:val="20"/>
        </w:rPr>
        <w:t>(e)</w:t>
      </w:r>
      <w:r w:rsidR="00E268BB" w:rsidRPr="00337986">
        <w:rPr>
          <w:rFonts w:ascii="Ebrima" w:hAnsi="Ebrima"/>
          <w:sz w:val="20"/>
          <w:szCs w:val="20"/>
        </w:rPr>
        <w:t xml:space="preserve"> dans </w:t>
      </w:r>
      <w:r w:rsidR="00E268BB">
        <w:rPr>
          <w:rFonts w:ascii="Ebrima" w:hAnsi="Ebrima"/>
          <w:sz w:val="20"/>
          <w:szCs w:val="20"/>
        </w:rPr>
        <w:t>l’</w:t>
      </w:r>
      <w:r w:rsidR="00E268BB" w:rsidRPr="00337986">
        <w:rPr>
          <w:rFonts w:ascii="Ebrima" w:hAnsi="Ebrima"/>
          <w:sz w:val="20"/>
          <w:szCs w:val="20"/>
        </w:rPr>
        <w:t>emploi</w:t>
      </w:r>
      <w:r w:rsidR="00E268BB">
        <w:rPr>
          <w:rFonts w:ascii="Ebrima" w:hAnsi="Ebrima"/>
          <w:sz w:val="20"/>
          <w:szCs w:val="20"/>
        </w:rPr>
        <w:t xml:space="preserve"> de </w:t>
      </w:r>
      <w:r w:rsidR="00E268BB" w:rsidRPr="00A86C3F">
        <w:rPr>
          <w:rFonts w:ascii="Ebrima" w:hAnsi="Ebrima"/>
          <w:sz w:val="20"/>
          <w:szCs w:val="20"/>
          <w:highlight w:val="yellow"/>
        </w:rPr>
        <w:t>…</w:t>
      </w:r>
      <w:r w:rsidR="00E268BB">
        <w:rPr>
          <w:rFonts w:ascii="Ebrima" w:hAnsi="Ebrima"/>
          <w:sz w:val="20"/>
          <w:szCs w:val="20"/>
        </w:rPr>
        <w:t xml:space="preserve"> </w:t>
      </w:r>
      <w:r w:rsidR="00E268BB" w:rsidRPr="00A86C3F">
        <w:rPr>
          <w:rFonts w:ascii="Ebrima" w:hAnsi="Ebrima"/>
          <w:i/>
          <w:iCs/>
          <w:sz w:val="20"/>
          <w:szCs w:val="20"/>
        </w:rPr>
        <w:t>(dénomination de l’emploi d’affectation)</w:t>
      </w:r>
      <w:r w:rsidR="00E268BB">
        <w:rPr>
          <w:rFonts w:ascii="Ebrima" w:hAnsi="Ebrima"/>
          <w:sz w:val="20"/>
          <w:szCs w:val="20"/>
        </w:rPr>
        <w:t xml:space="preserve"> </w:t>
      </w:r>
      <w:r w:rsidR="00E268BB" w:rsidRPr="00337986">
        <w:rPr>
          <w:rFonts w:ascii="Ebrima" w:hAnsi="Ebrima"/>
          <w:sz w:val="20"/>
          <w:szCs w:val="20"/>
        </w:rPr>
        <w:t>correspondant à son grade,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2D76EC27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4" w:name="_Hlk163638491"/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à son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="00802886" w:rsidRPr="00802886">
        <w:rPr>
          <w:rFonts w:ascii="Ebrima" w:hAnsi="Ebrima"/>
          <w:iCs/>
          <w:sz w:val="20"/>
          <w:szCs w:val="20"/>
        </w:rPr>
        <w:t>et</w:t>
      </w:r>
      <w:r w:rsidR="00802886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4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7C4F348D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Il 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10A2004" w14:textId="7A1B1529" w:rsidR="002963E5" w:rsidRPr="00145BA6" w:rsidRDefault="002963E5" w:rsidP="00145BA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45BA6">
        <w:rPr>
          <w:rFonts w:ascii="Ebrima" w:hAnsi="Ebrima"/>
          <w:sz w:val="20"/>
          <w:szCs w:val="20"/>
        </w:rPr>
        <w:t xml:space="preserve">L’arrêté n°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sz w:val="20"/>
          <w:szCs w:val="20"/>
        </w:rPr>
        <w:t>(date)</w:t>
      </w:r>
      <w:r w:rsidRPr="00145BA6">
        <w:rPr>
          <w:rFonts w:ascii="Ebrima" w:hAnsi="Ebrima"/>
          <w:sz w:val="20"/>
          <w:szCs w:val="20"/>
        </w:rPr>
        <w:t xml:space="preserve"> portant </w:t>
      </w:r>
      <w:r w:rsidR="00E268BB" w:rsidRPr="00145BA6">
        <w:rPr>
          <w:rFonts w:ascii="Ebrima" w:hAnsi="Ebrima"/>
          <w:sz w:val="20"/>
          <w:szCs w:val="20"/>
        </w:rPr>
        <w:t xml:space="preserve">mise en disponibilité d’office dans l’attente d’une réintégration </w:t>
      </w:r>
      <w:r w:rsidRPr="00145BA6">
        <w:rPr>
          <w:rFonts w:ascii="Ebrima" w:hAnsi="Ebrima"/>
          <w:sz w:val="20"/>
          <w:szCs w:val="20"/>
        </w:rPr>
        <w:t xml:space="preserve">est abrogé à compter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color w:val="7030A0"/>
          <w:sz w:val="20"/>
          <w:szCs w:val="20"/>
        </w:rPr>
        <w:t>(date d’effet du présent arrêté)</w:t>
      </w:r>
      <w:r w:rsidR="00A769BD" w:rsidRPr="00145BA6">
        <w:rPr>
          <w:rFonts w:ascii="Ebrima" w:hAnsi="Ebrima"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77897DB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E268BB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6B42E1A9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E268BB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5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5"/>
    <w:p w14:paraId="785336E6" w14:textId="7CA89DB9" w:rsidR="00617C71" w:rsidRPr="00145BA6" w:rsidRDefault="00617C71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DB2C66F" w14:textId="77777777" w:rsidR="00E268BB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B7AAD6B" w14:textId="77777777" w:rsidR="00E268BB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1F57CB74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lastRenderedPageBreak/>
        <w:t xml:space="preserve">Article </w:t>
      </w:r>
      <w:r w:rsidR="00E268BB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7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51ACC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3C51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</TotalTime>
  <Pages>3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+ réintégration dans sa propre collectivité - agent FPT</vt:lpstr>
    </vt:vector>
  </TitlesOfParts>
  <Manager>laurent.gougeon@cdg45.fr</Manager>
  <Company>CDG 45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réintégration dans sa collectivité d'origine suite à une disponibilité d'office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2024-04-27T20:20:00Z</dcterms:created>
  <dcterms:modified xsi:type="dcterms:W3CDTF">2024-04-27T20:27:00Z</dcterms:modified>
</cp:coreProperties>
</file>