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12348FC6" w:rsidR="00BA74E6" w:rsidRDefault="0023528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maintien en surnombre</w:t>
      </w:r>
      <w:r w:rsidR="00E6100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dans sa collectivité</w:t>
      </w:r>
      <w:r w:rsidR="008E0F4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31D216" w14:textId="77777777" w:rsidR="00235283" w:rsidRPr="00E07E61" w:rsidRDefault="00235283" w:rsidP="0023528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3D55536F" w14:textId="29A031F9" w:rsidR="00235283" w:rsidRPr="00E07E61" w:rsidRDefault="00235283" w:rsidP="0023528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63639953"/>
      <w:r w:rsidR="008E0F47">
        <w:rPr>
          <w:rFonts w:ascii="Ebrima" w:hAnsi="Ebrima"/>
          <w:b/>
          <w:iCs/>
          <w:color w:val="000000" w:themeColor="text1"/>
          <w:sz w:val="24"/>
          <w:szCs w:val="24"/>
        </w:rPr>
        <w:t>maintien en surnombre</w:t>
      </w:r>
      <w:r w:rsidR="008E0F47">
        <w:rPr>
          <w:rFonts w:ascii="Ebrima" w:hAnsi="Ebrima"/>
          <w:b/>
          <w:i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bookmarkEnd w:id="1"/>
      <w:r w:rsidRPr="00751E2F">
        <w:rPr>
          <w:rFonts w:ascii="Ebrima" w:hAnsi="Ebrima"/>
          <w:b/>
          <w:iCs/>
          <w:color w:val="000000" w:themeColor="text1"/>
          <w:sz w:val="24"/>
          <w:szCs w:val="24"/>
        </w:rPr>
        <w:t xml:space="preserve"> </w:t>
      </w:r>
    </w:p>
    <w:p w14:paraId="0D6EA112" w14:textId="77777777" w:rsidR="00235283" w:rsidRPr="00E07E61" w:rsidRDefault="00235283" w:rsidP="00235283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825D78C" w14:textId="77777777" w:rsidR="00235283" w:rsidRPr="00137D8F" w:rsidRDefault="00235283" w:rsidP="002352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2" w:name="_Hlk163643752"/>
      <w:bookmarkStart w:id="3" w:name="_Hlk163639131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ECB15EA" w14:textId="77777777" w:rsidR="00235283" w:rsidRDefault="00235283" w:rsidP="002352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EA13D9" w14:textId="77777777" w:rsidR="00F5746D" w:rsidRPr="00B042F4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C0828C1" w14:textId="77777777" w:rsidR="00F5746D" w:rsidRPr="000625FE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0103213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785DDD6E" w14:textId="77777777" w:rsidR="00F5746D" w:rsidRPr="000625FE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04CD7B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74BBFBA" w14:textId="77777777" w:rsidR="00F5746D" w:rsidRDefault="00F5746D" w:rsidP="00F574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0070676" w14:textId="77777777" w:rsidR="00F5746D" w:rsidRPr="00FE30B8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4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288F7FB6" w14:textId="77777777" w:rsidR="00F5746D" w:rsidRPr="005E0BDC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4232E5B" w14:textId="77777777" w:rsidR="00F5746D" w:rsidRPr="005E0BDC" w:rsidRDefault="00F5746D" w:rsidP="00F5746D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74B613E0" w14:textId="77777777" w:rsidR="00F5746D" w:rsidRPr="005E0BDC" w:rsidRDefault="00F5746D" w:rsidP="00F574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82568C5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E3112BA" w14:textId="77777777" w:rsidR="00F5746D" w:rsidRPr="00B042F4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BA83625" w14:textId="77777777" w:rsidR="00F5746D" w:rsidRDefault="00F5746D" w:rsidP="00F5746D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F321BB5" w14:textId="77777777" w:rsidR="00F5746D" w:rsidRPr="00050EAB" w:rsidRDefault="00F5746D" w:rsidP="00F5746D">
      <w:pPr>
        <w:pStyle w:val="VuConsidrant"/>
        <w:spacing w:after="0"/>
        <w:rPr>
          <w:rFonts w:ascii="Ebrima" w:hAnsi="Ebrima"/>
        </w:rPr>
      </w:pPr>
    </w:p>
    <w:p w14:paraId="205DC8AC" w14:textId="77777777" w:rsidR="00F5746D" w:rsidRPr="00050EAB" w:rsidRDefault="00F5746D" w:rsidP="00F5746D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48E820C3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0C3DAE1D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Vu le décret n°87-1101 modifié portant dispositions statutaires particulières à certains emplois administratifs de direction des collectivités territoriales et des établissements publics locaux assimilés</w:t>
      </w:r>
      <w:r>
        <w:rPr>
          <w:rFonts w:ascii="Ebrima" w:hAnsi="Ebrima"/>
        </w:rPr>
        <w:t>,</w:t>
      </w:r>
      <w:r w:rsidRPr="005E0BDC">
        <w:rPr>
          <w:rFonts w:ascii="Ebrima" w:hAnsi="Ebrima"/>
        </w:rPr>
        <w:t xml:space="preserve"> </w:t>
      </w:r>
    </w:p>
    <w:p w14:paraId="1F52515C" w14:textId="77777777" w:rsidR="00F5746D" w:rsidRDefault="00F5746D" w:rsidP="00F5746D">
      <w:pPr>
        <w:pStyle w:val="VuConsidrant"/>
        <w:spacing w:after="0"/>
        <w:rPr>
          <w:rFonts w:ascii="Ebrima" w:hAnsi="Ebrima"/>
          <w:i/>
          <w:iCs/>
          <w:color w:val="7030A0"/>
        </w:rPr>
      </w:pPr>
    </w:p>
    <w:p w14:paraId="5A3E0844" w14:textId="77777777" w:rsidR="00BF2589" w:rsidRDefault="00BF2589" w:rsidP="00F5746D">
      <w:pPr>
        <w:pStyle w:val="VuConsidrant"/>
        <w:spacing w:after="0"/>
        <w:rPr>
          <w:rFonts w:ascii="Ebrima" w:hAnsi="Ebrima"/>
          <w:i/>
          <w:iCs/>
          <w:color w:val="7030A0"/>
        </w:rPr>
      </w:pPr>
    </w:p>
    <w:p w14:paraId="354D36C6" w14:textId="43C608F4" w:rsidR="00F5746D" w:rsidRPr="00EC1E95" w:rsidRDefault="00F5746D" w:rsidP="00F5746D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6E3B1228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6B348CA1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5A03DF51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7BF744E9" w14:textId="5AC4F2A6" w:rsidR="00F5746D" w:rsidRPr="005E0BDC" w:rsidRDefault="00F5746D" w:rsidP="00F574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bookmarkStart w:id="5" w:name="_Hlk165122543"/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2C5DBF"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450E14E8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5E9B322C" w14:textId="62E6947C" w:rsidR="005E0BDC" w:rsidRPr="00235283" w:rsidRDefault="00F5746D" w:rsidP="005E0BDC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 w:rsidR="002C5DBF">
        <w:rPr>
          <w:rFonts w:ascii="Ebrima" w:hAnsi="Ebrima"/>
        </w:rPr>
        <w:t xml:space="preserve"> intervient le terme initial du détachement sur l’emploi fonctionnel </w:t>
      </w:r>
      <w:r w:rsidR="002C5DBF" w:rsidRPr="005E0BDC">
        <w:rPr>
          <w:rFonts w:ascii="Ebrima" w:hAnsi="Ebrima"/>
        </w:rPr>
        <w:t xml:space="preserve">de </w:t>
      </w:r>
      <w:r w:rsidR="002C5DBF" w:rsidRPr="00FE30B8">
        <w:rPr>
          <w:rFonts w:ascii="Ebrima" w:hAnsi="Ebrima"/>
          <w:i/>
          <w:iCs/>
        </w:rPr>
        <w:t xml:space="preserve">Madame ou Monsieur </w:t>
      </w:r>
      <w:r w:rsidR="002C5DBF" w:rsidRPr="00FE30B8">
        <w:rPr>
          <w:rFonts w:ascii="Ebrima" w:hAnsi="Ebrima"/>
          <w:i/>
          <w:iCs/>
          <w:highlight w:val="yellow"/>
        </w:rPr>
        <w:t>…</w:t>
      </w:r>
      <w:r w:rsidR="002C5DBF" w:rsidRPr="005E0BDC">
        <w:rPr>
          <w:rFonts w:ascii="Ebrima" w:hAnsi="Ebrima"/>
        </w:rPr>
        <w:t xml:space="preserve"> </w:t>
      </w:r>
      <w:r w:rsidR="002C5DBF" w:rsidRPr="005E0BDC">
        <w:rPr>
          <w:rFonts w:ascii="Ebrima" w:hAnsi="Ebrima"/>
          <w:i/>
        </w:rPr>
        <w:t xml:space="preserve">(prénom </w:t>
      </w:r>
      <w:r w:rsidR="002C5DBF">
        <w:rPr>
          <w:rFonts w:ascii="Ebrima" w:hAnsi="Ebrima"/>
          <w:i/>
        </w:rPr>
        <w:t xml:space="preserve">et nom </w:t>
      </w:r>
      <w:r w:rsidR="002C5DBF" w:rsidRPr="005E0BDC">
        <w:rPr>
          <w:rFonts w:ascii="Ebrima" w:hAnsi="Ebrima"/>
          <w:i/>
        </w:rPr>
        <w:t>de l’agent)</w:t>
      </w:r>
      <w:r w:rsidR="002C5DBF">
        <w:rPr>
          <w:rFonts w:ascii="Ebrima" w:hAnsi="Ebrima"/>
          <w:i/>
        </w:rPr>
        <w:t xml:space="preserve"> </w:t>
      </w:r>
      <w:r w:rsidR="002C5DBF">
        <w:rPr>
          <w:rFonts w:ascii="Ebrima" w:hAnsi="Ebrima"/>
        </w:rPr>
        <w:t>et à brève échéance</w:t>
      </w:r>
      <w:bookmarkEnd w:id="4"/>
      <w:bookmarkEnd w:id="5"/>
      <w:bookmarkEnd w:id="2"/>
      <w:bookmarkEnd w:id="3"/>
      <w:r w:rsidR="002C5DBF">
        <w:rPr>
          <w:rFonts w:ascii="Ebrima" w:hAnsi="Ebrima"/>
        </w:rPr>
        <w:t xml:space="preserve">, </w:t>
      </w:r>
      <w:r w:rsidR="005E0BDC" w:rsidRPr="00235283">
        <w:rPr>
          <w:rFonts w:ascii="Ebrima" w:hAnsi="Ebrima"/>
          <w:iCs/>
        </w:rPr>
        <w:t xml:space="preserve">il n’existe aucun emploi vacant correspondant au grade détenu par </w:t>
      </w:r>
      <w:r w:rsidR="00235283">
        <w:rPr>
          <w:rFonts w:ascii="Ebrima" w:hAnsi="Ebrima"/>
          <w:iCs/>
        </w:rPr>
        <w:t>l’agent</w:t>
      </w:r>
      <w:r w:rsidR="00083BF3" w:rsidRPr="00235283">
        <w:rPr>
          <w:rFonts w:ascii="Ebrima" w:hAnsi="Ebrima"/>
          <w:iCs/>
        </w:rPr>
        <w:t xml:space="preserve"> </w:t>
      </w:r>
      <w:r w:rsidR="005E0BDC" w:rsidRPr="00235283">
        <w:rPr>
          <w:rFonts w:ascii="Ebrima" w:hAnsi="Ebrima"/>
          <w:iCs/>
        </w:rPr>
        <w:t>dans la collectivité,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7E4F2D" w14:textId="77777777" w:rsidR="00EB20BF" w:rsidRPr="005E0BDC" w:rsidRDefault="00EB20BF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EF2B6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EF2B6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35AF1C" w14:textId="3060DBE6" w:rsidR="00235283" w:rsidRPr="002C5DBF" w:rsidRDefault="00235283" w:rsidP="002352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2C5DBF">
        <w:rPr>
          <w:rFonts w:ascii="Ebrima" w:hAnsi="Ebrima"/>
          <w:sz w:val="20"/>
          <w:szCs w:val="20"/>
        </w:rPr>
        <w:t xml:space="preserve">est maintenu(e) en surnombre à compter du </w:t>
      </w:r>
      <w:r w:rsidR="002C5DBF" w:rsidRPr="002C5DBF">
        <w:rPr>
          <w:rFonts w:ascii="Ebrima" w:hAnsi="Ebrima"/>
          <w:sz w:val="20"/>
          <w:szCs w:val="20"/>
          <w:highlight w:val="yellow"/>
        </w:rPr>
        <w:t>…</w:t>
      </w:r>
      <w:r w:rsidR="002C5DBF">
        <w:rPr>
          <w:rFonts w:ascii="Ebrima" w:hAnsi="Ebrima"/>
          <w:sz w:val="20"/>
          <w:szCs w:val="20"/>
        </w:rPr>
        <w:t xml:space="preserve"> </w:t>
      </w:r>
      <w:r w:rsidR="002C5DBF" w:rsidRPr="002C5DBF">
        <w:rPr>
          <w:rFonts w:ascii="Ebrima" w:hAnsi="Ebrima"/>
          <w:i/>
          <w:iCs/>
          <w:color w:val="7030A0"/>
          <w:sz w:val="20"/>
          <w:szCs w:val="20"/>
        </w:rPr>
        <w:t>(date de la fin initiale du détachement sur l’emploi fonctionnel)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6CD82B7D" w14:textId="63D996B0" w:rsidR="00897324" w:rsidRPr="00897324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la date </w:t>
      </w:r>
      <w:r w:rsidR="00897324" w:rsidRPr="00897324">
        <w:rPr>
          <w:rFonts w:ascii="Ebrima" w:hAnsi="Ebrima"/>
          <w:bCs/>
          <w:sz w:val="20"/>
          <w:szCs w:val="20"/>
        </w:rPr>
        <w:t xml:space="preserve">mentionnée à l’article </w:t>
      </w:r>
      <w:r w:rsidR="002C5DBF">
        <w:rPr>
          <w:rFonts w:ascii="Ebrima" w:hAnsi="Ebrima"/>
          <w:bCs/>
          <w:sz w:val="20"/>
          <w:szCs w:val="20"/>
        </w:rPr>
        <w:t>1</w:t>
      </w:r>
      <w:r w:rsidRPr="00897324">
        <w:rPr>
          <w:rFonts w:ascii="Ebrima" w:hAnsi="Ebrima"/>
          <w:bCs/>
          <w:sz w:val="20"/>
          <w:szCs w:val="20"/>
        </w:rPr>
        <w:t xml:space="preserve">,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="00E07E61" w:rsidRPr="00897324">
        <w:rPr>
          <w:rFonts w:ascii="Ebrima" w:hAnsi="Ebrima"/>
          <w:bCs/>
          <w:sz w:val="20"/>
          <w:szCs w:val="20"/>
        </w:rPr>
        <w:t>est</w:t>
      </w:r>
      <w:r w:rsidR="00897324" w:rsidRPr="00897324">
        <w:rPr>
          <w:rFonts w:ascii="Ebrima" w:hAnsi="Ebrima"/>
          <w:bCs/>
          <w:sz w:val="20"/>
          <w:szCs w:val="20"/>
        </w:rPr>
        <w:t xml:space="preserve"> réintégré(e) dans le cadre d’emplois des </w:t>
      </w:r>
      <w:r w:rsidR="00897324"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="00897324" w:rsidRPr="00897324">
        <w:rPr>
          <w:rFonts w:ascii="Ebrima" w:hAnsi="Ebrima"/>
          <w:bCs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i/>
          <w:sz w:val="20"/>
          <w:szCs w:val="20"/>
        </w:rPr>
        <w:t>(dénomination du cadre d’emplois)</w:t>
      </w:r>
      <w:r w:rsidR="00897324">
        <w:rPr>
          <w:rFonts w:ascii="Ebrima" w:hAnsi="Ebrima"/>
          <w:bCs/>
          <w:i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4B3492">
        <w:rPr>
          <w:rFonts w:ascii="Ebrima" w:hAnsi="Ebrima"/>
          <w:bCs/>
          <w:sz w:val="20"/>
          <w:szCs w:val="20"/>
        </w:rPr>
        <w:t xml:space="preserve"> </w:t>
      </w:r>
      <w:r w:rsidR="00235283">
        <w:rPr>
          <w:rFonts w:ascii="Ebrima" w:hAnsi="Ebrima"/>
          <w:bCs/>
          <w:sz w:val="20"/>
          <w:szCs w:val="20"/>
        </w:rPr>
        <w:t>et maintenu en surnombre.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B24E292" w14:textId="77777777" w:rsidR="00235283" w:rsidRDefault="00235283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cette date, </w:t>
      </w:r>
      <w:r>
        <w:rPr>
          <w:rFonts w:ascii="Ebrima" w:hAnsi="Ebrima"/>
          <w:bCs/>
          <w:sz w:val="20"/>
          <w:szCs w:val="20"/>
        </w:rPr>
        <w:t>l’agent</w:t>
      </w:r>
      <w:r w:rsidRPr="00897324">
        <w:rPr>
          <w:rFonts w:ascii="Ebrima" w:hAnsi="Ebrima"/>
          <w:bCs/>
          <w:sz w:val="20"/>
          <w:szCs w:val="20"/>
        </w:rPr>
        <w:t xml:space="preserve"> est classé au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97324">
        <w:rPr>
          <w:rFonts w:ascii="Ebrima" w:hAnsi="Ebrima"/>
          <w:bCs/>
          <w:sz w:val="20"/>
          <w:szCs w:val="20"/>
        </w:rPr>
        <w:t xml:space="preserve">avec une ancienneté conservée de </w:t>
      </w:r>
      <w:r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(année, mois et jours)</w:t>
      </w:r>
      <w:r>
        <w:rPr>
          <w:rFonts w:ascii="Ebrima" w:hAnsi="Ebrima"/>
          <w:bCs/>
          <w:sz w:val="20"/>
          <w:szCs w:val="20"/>
        </w:rPr>
        <w:t>.</w:t>
      </w:r>
    </w:p>
    <w:p w14:paraId="43C1E1EC" w14:textId="77777777" w:rsidR="002C5DBF" w:rsidRPr="00897324" w:rsidRDefault="002C5DBF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ACB2A31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2C5DBF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CDDE7D9" w14:textId="1ED0DF64" w:rsidR="00235283" w:rsidRDefault="00235283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Pr="00897324">
        <w:rPr>
          <w:rFonts w:ascii="Ebrima" w:hAnsi="Ebrima"/>
          <w:bCs/>
          <w:sz w:val="20"/>
          <w:szCs w:val="20"/>
        </w:rPr>
        <w:t xml:space="preserve">percevra le traitement </w:t>
      </w:r>
      <w:r>
        <w:rPr>
          <w:rFonts w:ascii="Ebrima" w:hAnsi="Ebrima"/>
          <w:bCs/>
          <w:sz w:val="20"/>
          <w:szCs w:val="20"/>
        </w:rPr>
        <w:t xml:space="preserve">indiciaire afférent à son grade de </w:t>
      </w:r>
      <w:r w:rsidRPr="004B349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5E0BDC">
        <w:rPr>
          <w:rFonts w:ascii="Ebrima" w:hAnsi="Ebrima"/>
          <w:sz w:val="20"/>
          <w:szCs w:val="20"/>
        </w:rPr>
        <w:t xml:space="preserve">au </w:t>
      </w:r>
      <w:r w:rsidRPr="005E0BDC">
        <w:rPr>
          <w:rFonts w:ascii="Ebrima" w:hAnsi="Ebrima"/>
          <w:sz w:val="20"/>
          <w:szCs w:val="20"/>
          <w:highlight w:val="yellow"/>
        </w:rPr>
        <w:t>...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>(nombre)</w:t>
      </w:r>
      <w:r w:rsidRPr="005E0BDC">
        <w:rPr>
          <w:rFonts w:ascii="Ebrima" w:hAnsi="Ebrima"/>
          <w:sz w:val="20"/>
          <w:szCs w:val="20"/>
        </w:rPr>
        <w:t xml:space="preserve"> échelon, Indice Brut </w:t>
      </w:r>
      <w:r w:rsidRPr="005E0BDC">
        <w:rPr>
          <w:rFonts w:ascii="Ebrima" w:hAnsi="Ebrima"/>
          <w:sz w:val="20"/>
          <w:szCs w:val="20"/>
          <w:highlight w:val="yellow"/>
        </w:rPr>
        <w:t>...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>(nombre)</w:t>
      </w:r>
      <w:r w:rsidRPr="005E0BDC">
        <w:rPr>
          <w:rFonts w:ascii="Ebrima" w:hAnsi="Ebrima"/>
          <w:sz w:val="20"/>
          <w:szCs w:val="20"/>
        </w:rPr>
        <w:t xml:space="preserve">, Indice Majoré </w:t>
      </w:r>
      <w:r w:rsidRPr="005E0BDC">
        <w:rPr>
          <w:rFonts w:ascii="Ebrima" w:hAnsi="Ebrima"/>
          <w:sz w:val="20"/>
          <w:szCs w:val="20"/>
          <w:highlight w:val="yellow"/>
        </w:rPr>
        <w:t>...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>(nombre)</w:t>
      </w:r>
      <w:r w:rsidR="00EF2B6F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Cs/>
          <w:sz w:val="20"/>
          <w:szCs w:val="20"/>
        </w:rPr>
        <w:t>et</w:t>
      </w:r>
      <w:r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Pr="00897324">
        <w:rPr>
          <w:rFonts w:ascii="Ebrima" w:hAnsi="Ebrima"/>
          <w:bCs/>
          <w:sz w:val="20"/>
          <w:szCs w:val="20"/>
        </w:rPr>
        <w:t>.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3BC166" w14:textId="3F1E7F55" w:rsidR="00897324" w:rsidRPr="00897324" w:rsidRDefault="0023528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897324">
        <w:rPr>
          <w:rFonts w:ascii="Ebrima" w:hAnsi="Ebrima"/>
          <w:bCs/>
          <w:sz w:val="20"/>
          <w:szCs w:val="20"/>
        </w:rPr>
        <w:t xml:space="preserve"> ne percevra aucune prime et indemnité</w:t>
      </w:r>
      <w:r w:rsidR="002C5DBF">
        <w:rPr>
          <w:rFonts w:ascii="Ebrima" w:hAnsi="Ebrima"/>
          <w:bCs/>
          <w:sz w:val="20"/>
          <w:szCs w:val="20"/>
        </w:rPr>
        <w:t>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1075BBA9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2C5DBF">
        <w:rPr>
          <w:rFonts w:ascii="Ebrima" w:hAnsi="Ebrima" w:cs="Times New Roman"/>
          <w:b/>
          <w:bCs/>
          <w:sz w:val="20"/>
          <w:szCs w:val="20"/>
          <w:lang w:val="fr"/>
        </w:rPr>
        <w:t>4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14A79459" w14:textId="77777777" w:rsidR="00B456C5" w:rsidRDefault="00B456C5" w:rsidP="00B456C5">
      <w:pPr>
        <w:pStyle w:val="articlen"/>
        <w:spacing w:before="0"/>
        <w:rPr>
          <w:rFonts w:ascii="Ebrima" w:hAnsi="Ebrima"/>
        </w:rPr>
      </w:pPr>
    </w:p>
    <w:p w14:paraId="0AD0D217" w14:textId="5CD54307" w:rsidR="0045616E" w:rsidRDefault="00B456C5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B456C5">
        <w:rPr>
          <w:rFonts w:ascii="Ebrima" w:hAnsi="Ebrima"/>
          <w:b w:val="0"/>
          <w:bCs w:val="0"/>
          <w:i/>
        </w:rPr>
        <w:t>Monsieur ou Madame</w:t>
      </w:r>
      <w:r w:rsidRPr="00B456C5">
        <w:rPr>
          <w:rFonts w:ascii="Ebrima" w:hAnsi="Ebrima"/>
          <w:b w:val="0"/>
          <w:bCs w:val="0"/>
        </w:rPr>
        <w:t xml:space="preserve"> </w:t>
      </w:r>
      <w:r w:rsidRPr="00B456C5">
        <w:rPr>
          <w:rFonts w:ascii="Ebrima" w:hAnsi="Ebrima"/>
          <w:b w:val="0"/>
          <w:bCs w:val="0"/>
          <w:highlight w:val="yellow"/>
        </w:rPr>
        <w:t>…</w:t>
      </w:r>
      <w:r w:rsidRPr="00B456C5">
        <w:rPr>
          <w:rFonts w:ascii="Ebrima" w:hAnsi="Ebrima"/>
          <w:b w:val="0"/>
          <w:bCs w:val="0"/>
        </w:rPr>
        <w:t xml:space="preserve"> </w:t>
      </w:r>
      <w:r w:rsidRPr="00B456C5">
        <w:rPr>
          <w:rFonts w:ascii="Ebrima" w:hAnsi="Ebrima"/>
          <w:b w:val="0"/>
          <w:bCs w:val="0"/>
          <w:i/>
        </w:rPr>
        <w:t>(nom et prénom de l’agent</w:t>
      </w:r>
      <w:r w:rsidRPr="00B456C5">
        <w:rPr>
          <w:rFonts w:ascii="Ebrima" w:hAnsi="Ebrima"/>
          <w:b w:val="0"/>
          <w:bCs w:val="0"/>
        </w:rPr>
        <w:t>)</w:t>
      </w:r>
      <w:r w:rsidRPr="00897324">
        <w:rPr>
          <w:rFonts w:ascii="Ebrima" w:hAnsi="Ebrima"/>
          <w:bCs w:val="0"/>
        </w:rPr>
        <w:t xml:space="preserve"> </w:t>
      </w:r>
      <w:r w:rsidR="0045616E" w:rsidRPr="00B456C5">
        <w:rPr>
          <w:rFonts w:ascii="Ebrima" w:hAnsi="Ebrima"/>
          <w:b w:val="0"/>
        </w:rPr>
        <w:t>est maintenu</w:t>
      </w:r>
      <w:r w:rsidR="0045616E" w:rsidRPr="00B456C5">
        <w:rPr>
          <w:rFonts w:ascii="Ebrima" w:hAnsi="Ebrima"/>
          <w:b w:val="0"/>
          <w:i/>
        </w:rPr>
        <w:t>(e)</w:t>
      </w:r>
      <w:r w:rsidR="002C5DBF">
        <w:rPr>
          <w:rFonts w:ascii="Ebrima" w:hAnsi="Ebrima"/>
          <w:b w:val="0"/>
          <w:i/>
        </w:rPr>
        <w:t xml:space="preserve"> </w:t>
      </w:r>
      <w:r w:rsidR="0045616E" w:rsidRPr="00B456C5">
        <w:rPr>
          <w:rFonts w:ascii="Ebrima" w:hAnsi="Ebrima"/>
          <w:b w:val="0"/>
        </w:rPr>
        <w:t>en surnombre dans la collectivité pendant un an</w:t>
      </w:r>
      <w:r w:rsidR="00A769BD">
        <w:rPr>
          <w:rFonts w:ascii="Ebrima" w:hAnsi="Ebrima"/>
          <w:b w:val="0"/>
        </w:rPr>
        <w:t xml:space="preserve">. </w:t>
      </w:r>
      <w:r w:rsidR="0045616E" w:rsidRPr="00B456C5">
        <w:rPr>
          <w:rFonts w:ascii="Ebrima" w:hAnsi="Ebrima"/>
          <w:b w:val="0"/>
        </w:rPr>
        <w:t xml:space="preserve">Au terme </w:t>
      </w:r>
      <w:r w:rsidR="002C5DBF">
        <w:rPr>
          <w:rFonts w:ascii="Ebrima" w:hAnsi="Ebrima"/>
          <w:b w:val="0"/>
        </w:rPr>
        <w:t>de ce délai</w:t>
      </w:r>
      <w:r w:rsidR="0045616E" w:rsidRPr="00B456C5">
        <w:rPr>
          <w:rFonts w:ascii="Ebrima" w:hAnsi="Ebrima"/>
          <w:b w:val="0"/>
        </w:rPr>
        <w:t xml:space="preserve">, </w:t>
      </w:r>
      <w:r w:rsidR="00AE0F01">
        <w:rPr>
          <w:rFonts w:ascii="Ebrima" w:hAnsi="Ebrima"/>
          <w:b w:val="0"/>
        </w:rPr>
        <w:t>l’agent</w:t>
      </w:r>
      <w:r w:rsidR="0045616E" w:rsidRPr="00B456C5">
        <w:rPr>
          <w:rFonts w:ascii="Ebrima" w:hAnsi="Ebrima"/>
          <w:b w:val="0"/>
        </w:rPr>
        <w:t xml:space="preserve"> </w:t>
      </w:r>
      <w:r w:rsidR="002C5DBF">
        <w:rPr>
          <w:rFonts w:ascii="Ebrima" w:hAnsi="Ebrima"/>
          <w:b w:val="0"/>
        </w:rPr>
        <w:t>sera</w:t>
      </w:r>
      <w:r w:rsidR="0045616E" w:rsidRPr="00B456C5">
        <w:rPr>
          <w:rFonts w:ascii="Ebrima" w:hAnsi="Ebrima"/>
          <w:b w:val="0"/>
        </w:rPr>
        <w:t xml:space="preserve"> pris en charge par le CNFPT ou le </w:t>
      </w:r>
      <w:r w:rsidR="00235283">
        <w:rPr>
          <w:rFonts w:ascii="Ebrima" w:hAnsi="Ebrima"/>
          <w:b w:val="0"/>
        </w:rPr>
        <w:t>Centre de gestion compétent</w:t>
      </w:r>
      <w:r w:rsidR="00A54D08">
        <w:rPr>
          <w:rFonts w:ascii="Ebrima" w:hAnsi="Ebrima"/>
          <w:b w:val="0"/>
        </w:rPr>
        <w:t xml:space="preserve"> </w:t>
      </w:r>
      <w:r w:rsidR="00A54D08" w:rsidRPr="00A54D08">
        <w:rPr>
          <w:rFonts w:ascii="Ebrima" w:hAnsi="Ebrima"/>
          <w:b w:val="0"/>
          <w:bCs w:val="0"/>
        </w:rPr>
        <w:t>s’il n’a pas retrouvé entre temps une nouvelle affectation</w:t>
      </w:r>
      <w:r w:rsidR="0045616E" w:rsidRPr="00A54D08">
        <w:rPr>
          <w:rFonts w:ascii="Ebrima" w:hAnsi="Ebrima"/>
          <w:b w:val="0"/>
          <w:bCs w:val="0"/>
        </w:rPr>
        <w:t xml:space="preserve">. </w:t>
      </w:r>
    </w:p>
    <w:p w14:paraId="4D4C1BAA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D19EA58" w14:textId="77777777" w:rsidR="00BF2589" w:rsidRDefault="00BF2589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48B4A997" w14:textId="77777777" w:rsidR="00BF2589" w:rsidRDefault="00BF2589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47FE2A42" w14:textId="77777777" w:rsidR="00BF2589" w:rsidRDefault="00BF2589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30155AE0" w14:textId="641578D1" w:rsidR="00A54D08" w:rsidRPr="00A54D08" w:rsidRDefault="00A54D08" w:rsidP="00B456C5">
      <w:pPr>
        <w:pStyle w:val="articlen"/>
        <w:spacing w:before="0"/>
        <w:rPr>
          <w:rFonts w:ascii="Ebrima" w:hAnsi="Ebrima"/>
        </w:rPr>
      </w:pPr>
      <w:r w:rsidRPr="00A54D08">
        <w:rPr>
          <w:rFonts w:ascii="Ebrima" w:hAnsi="Ebrima"/>
        </w:rPr>
        <w:lastRenderedPageBreak/>
        <w:t>Article 5 :</w:t>
      </w:r>
    </w:p>
    <w:p w14:paraId="02B41DB8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343C192" w14:textId="253D5A2F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A54D08">
        <w:rPr>
          <w:rFonts w:ascii="Ebrima" w:hAnsi="Ebrima"/>
          <w:b w:val="0"/>
          <w:bCs w:val="0"/>
        </w:rPr>
        <w:t xml:space="preserve">Le Centre de Gestion </w:t>
      </w:r>
      <w:r>
        <w:rPr>
          <w:rFonts w:ascii="Ebrima" w:hAnsi="Ebrima"/>
          <w:b w:val="0"/>
          <w:bCs w:val="0"/>
        </w:rPr>
        <w:t xml:space="preserve">de la fonction publique territoriale du </w:t>
      </w:r>
      <w:r w:rsidRPr="00A54D08">
        <w:rPr>
          <w:rFonts w:ascii="Ebrima" w:hAnsi="Ebrima"/>
          <w:b w:val="0"/>
          <w:bCs w:val="0"/>
          <w:highlight w:val="yellow"/>
        </w:rPr>
        <w:t>…</w:t>
      </w:r>
      <w:r>
        <w:rPr>
          <w:rFonts w:ascii="Ebrima" w:hAnsi="Ebrima"/>
          <w:b w:val="0"/>
          <w:bCs w:val="0"/>
        </w:rPr>
        <w:t xml:space="preserve"> </w:t>
      </w:r>
      <w:r w:rsidRPr="00A54D08">
        <w:rPr>
          <w:rFonts w:ascii="Ebrima" w:hAnsi="Ebrima"/>
          <w:b w:val="0"/>
          <w:bCs w:val="0"/>
          <w:i/>
          <w:iCs/>
        </w:rPr>
        <w:t>(nom du département)</w:t>
      </w:r>
      <w:r w:rsidRPr="00A54D08">
        <w:rPr>
          <w:rFonts w:ascii="Ebrima" w:hAnsi="Ebrima"/>
          <w:b w:val="0"/>
          <w:bCs w:val="0"/>
        </w:rPr>
        <w:t xml:space="preserve"> sera informé de la présente décision de m</w:t>
      </w:r>
      <w:r w:rsidR="008E0F47">
        <w:rPr>
          <w:rFonts w:ascii="Ebrima" w:hAnsi="Ebrima"/>
          <w:b w:val="0"/>
          <w:bCs w:val="0"/>
        </w:rPr>
        <w:t>aintien en surnombre</w:t>
      </w:r>
      <w:r>
        <w:rPr>
          <w:rFonts w:ascii="Ebrima" w:hAnsi="Ebrima"/>
          <w:b w:val="0"/>
          <w:bCs w:val="0"/>
        </w:rPr>
        <w:t>.</w:t>
      </w:r>
    </w:p>
    <w:p w14:paraId="7BBD9C74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C0E6A0E" w14:textId="54968B59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A54D08">
        <w:rPr>
          <w:rFonts w:ascii="Ebrima" w:hAnsi="Ebrima"/>
          <w:b w:val="0"/>
          <w:bCs w:val="0"/>
        </w:rPr>
        <w:t xml:space="preserve">Le Centre de Gestion reçoit pour mission d’examiner les possibilités de reclassement de </w:t>
      </w:r>
      <w:r>
        <w:rPr>
          <w:rFonts w:ascii="Ebrima" w:hAnsi="Ebrima"/>
          <w:b w:val="0"/>
          <w:bCs w:val="0"/>
        </w:rPr>
        <w:t>l’agent.</w:t>
      </w:r>
    </w:p>
    <w:p w14:paraId="07C1344F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2F59CA83" w14:textId="31FE2670" w:rsidR="00A54D08" w:rsidRPr="00A54D08" w:rsidRDefault="00A54D08" w:rsidP="00B456C5">
      <w:pPr>
        <w:pStyle w:val="articlen"/>
        <w:spacing w:before="0"/>
        <w:rPr>
          <w:rFonts w:ascii="Ebrima" w:hAnsi="Ebrima"/>
        </w:rPr>
      </w:pPr>
      <w:r w:rsidRPr="00A54D08">
        <w:rPr>
          <w:rFonts w:ascii="Ebrima" w:hAnsi="Ebrima"/>
        </w:rPr>
        <w:t>Article 6 :</w:t>
      </w:r>
    </w:p>
    <w:p w14:paraId="14070532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1E69FC31" w14:textId="29A52575" w:rsidR="00A54D08" w:rsidRPr="00B456C5" w:rsidRDefault="00A54D08" w:rsidP="00B456C5">
      <w:pPr>
        <w:pStyle w:val="articlen"/>
        <w:spacing w:before="0"/>
        <w:rPr>
          <w:rFonts w:ascii="Ebrima" w:hAnsi="Ebrima"/>
          <w:b w:val="0"/>
        </w:rPr>
      </w:pPr>
      <w:r w:rsidRPr="00A54D08">
        <w:rPr>
          <w:rFonts w:ascii="Ebrima" w:hAnsi="Ebrima"/>
          <w:b w:val="0"/>
          <w:bCs w:val="0"/>
        </w:rPr>
        <w:t xml:space="preserve">Pendant la période de surnombre, la collectivité lui proposera en priorité tout emploi vacant correspondant à son grade ou un emploi équivalent d’un cadre d’emplois </w:t>
      </w:r>
      <w:r>
        <w:rPr>
          <w:rFonts w:ascii="Ebrima" w:hAnsi="Ebrima"/>
          <w:b w:val="0"/>
          <w:bCs w:val="0"/>
        </w:rPr>
        <w:t>que l’agent</w:t>
      </w:r>
      <w:r w:rsidRPr="00A54D08">
        <w:rPr>
          <w:rFonts w:ascii="Ebrima" w:hAnsi="Ebrima"/>
          <w:b w:val="0"/>
          <w:bCs w:val="0"/>
        </w:rPr>
        <w:t xml:space="preserve"> pourrait occuper par la voie d’un détachement ou d’une intégration directe.</w:t>
      </w:r>
    </w:p>
    <w:p w14:paraId="683F610E" w14:textId="77777777" w:rsidR="0045616E" w:rsidRPr="00B456C5" w:rsidRDefault="0045616E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957BF3" w14:textId="1BDF0D45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A54D08">
        <w:rPr>
          <w:rFonts w:ascii="Ebrima" w:hAnsi="Ebrima" w:cs="Times New Roman"/>
          <w:b/>
          <w:bCs/>
          <w:sz w:val="20"/>
          <w:szCs w:val="20"/>
          <w:lang w:val="fr"/>
        </w:rPr>
        <w:t>7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 :</w:t>
      </w:r>
    </w:p>
    <w:p w14:paraId="6C6498EA" w14:textId="77777777" w:rsidR="00DA04DA" w:rsidRPr="00A769BD" w:rsidRDefault="00DA04DA" w:rsidP="00A769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510A2004" w14:textId="3DB97199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</w:t>
      </w:r>
      <w:r w:rsidR="009558BC">
        <w:rPr>
          <w:rFonts w:ascii="Ebrima" w:hAnsi="Ebrima" w:cs="Arial"/>
          <w:sz w:val="20"/>
          <w:szCs w:val="20"/>
        </w:rPr>
        <w:t xml:space="preserve">mise en disponibilité d’office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5E46F94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05709DF" w:rsidR="007B0DEE" w:rsidRPr="009558BC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558BC">
        <w:rPr>
          <w:rFonts w:ascii="Ebrima" w:hAnsi="Ebrima" w:cs="Arial"/>
          <w:sz w:val="20"/>
          <w:szCs w:val="20"/>
        </w:rPr>
        <w:t>Le Directeur général des services</w:t>
      </w:r>
      <w:r w:rsidR="004B3492" w:rsidRPr="009558BC">
        <w:rPr>
          <w:rFonts w:ascii="Ebrima" w:hAnsi="Ebrima" w:cs="Arial"/>
          <w:sz w:val="20"/>
          <w:szCs w:val="20"/>
        </w:rPr>
        <w:t xml:space="preserve"> </w:t>
      </w:r>
      <w:r w:rsidR="00DA04DA" w:rsidRPr="009558BC">
        <w:rPr>
          <w:rFonts w:ascii="Ebrima" w:hAnsi="Ebrima" w:cs="Arial"/>
          <w:sz w:val="20"/>
          <w:szCs w:val="20"/>
        </w:rPr>
        <w:t xml:space="preserve">est chargé </w:t>
      </w:r>
      <w:r w:rsidRPr="009558BC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CDD459E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07522EF" w14:textId="77777777" w:rsidR="00EF2B6F" w:rsidRPr="00DA04DA" w:rsidRDefault="006F591D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</w:t>
      </w:r>
      <w:bookmarkStart w:id="6" w:name="_Hlk163640091"/>
      <w:r w:rsidR="000F560F" w:rsidRPr="00DA04DA">
        <w:rPr>
          <w:rFonts w:ascii="Ebrima" w:hAnsi="Ebrima" w:cs="Arial"/>
          <w:sz w:val="20"/>
          <w:szCs w:val="20"/>
        </w:rPr>
        <w:t xml:space="preserve">comptable principal </w:t>
      </w:r>
      <w:r w:rsidR="00EF2B6F" w:rsidRPr="00DA04DA">
        <w:rPr>
          <w:rFonts w:ascii="Ebrima" w:hAnsi="Ebrima" w:cs="Arial"/>
          <w:sz w:val="20"/>
          <w:szCs w:val="20"/>
        </w:rPr>
        <w:t xml:space="preserve">de </w:t>
      </w:r>
      <w:r w:rsidR="00EF2B6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EF2B6F">
        <w:rPr>
          <w:rFonts w:ascii="Ebrima" w:hAnsi="Ebrima" w:cs="Arial"/>
          <w:sz w:val="20"/>
          <w:szCs w:val="20"/>
        </w:rPr>
        <w:t xml:space="preserve"> </w:t>
      </w:r>
      <w:r w:rsidR="00EF2B6F" w:rsidRPr="00DA04DA">
        <w:rPr>
          <w:rFonts w:ascii="Ebrima" w:hAnsi="Ebrima" w:cs="Arial"/>
          <w:sz w:val="20"/>
          <w:szCs w:val="20"/>
        </w:rPr>
        <w:t>(</w:t>
      </w:r>
      <w:r w:rsidR="00EF2B6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EF2B6F">
        <w:rPr>
          <w:rFonts w:ascii="Ebrima" w:hAnsi="Ebrima"/>
          <w:bCs/>
          <w:i/>
          <w:sz w:val="20"/>
          <w:szCs w:val="20"/>
        </w:rPr>
        <w:t>collectivité territoriale</w:t>
      </w:r>
      <w:r w:rsidR="00EF2B6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EF2B6F" w:rsidRPr="00DA04DA">
        <w:rPr>
          <w:rFonts w:ascii="Ebrima" w:hAnsi="Ebrima" w:cs="Arial"/>
          <w:sz w:val="20"/>
          <w:szCs w:val="20"/>
        </w:rPr>
        <w:t>).</w:t>
      </w:r>
    </w:p>
    <w:bookmarkEnd w:id="6"/>
    <w:p w14:paraId="785336E6" w14:textId="38C9FA66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519033E7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10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A6A3DAC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42623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28CCB35F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00A0CB7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2C96B414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2C8736D0" w14:textId="77777777" w:rsidR="00EF2B6F" w:rsidRPr="00DA04DA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4E9158" w14:textId="77777777" w:rsidR="00EF2B6F" w:rsidRPr="00135737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C53418" w14:textId="77777777" w:rsidR="00EF2B6F" w:rsidRPr="00137D8F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8" w:name="_Hlk16362908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05DA217F" w14:textId="77777777" w:rsidR="00A54D08" w:rsidRDefault="00A54D08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6BBB2728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lastRenderedPageBreak/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0E47E11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283201E5" w14:textId="77777777" w:rsidR="00F5746D" w:rsidRPr="000E5C89" w:rsidRDefault="00F5746D" w:rsidP="00F5746D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17F73F4" w14:textId="77777777" w:rsidR="00F5746D" w:rsidRPr="000E5C89" w:rsidRDefault="00F5746D" w:rsidP="00F5746D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1900F3D" w14:textId="77777777" w:rsidR="00F5746D" w:rsidRPr="000E5C89" w:rsidRDefault="00F5746D" w:rsidP="00F5746D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1A08C597" w14:textId="73ACE244" w:rsidR="00897324" w:rsidRPr="00897324" w:rsidRDefault="00897324" w:rsidP="00897324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93311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5283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C5DBF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5661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525EA"/>
    <w:rsid w:val="0066103A"/>
    <w:rsid w:val="00662FE7"/>
    <w:rsid w:val="006667E7"/>
    <w:rsid w:val="006710C0"/>
    <w:rsid w:val="00683939"/>
    <w:rsid w:val="00684D52"/>
    <w:rsid w:val="00687907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A181A"/>
    <w:rsid w:val="008B1B84"/>
    <w:rsid w:val="008C7903"/>
    <w:rsid w:val="008E0F47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558BC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54D08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0F01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2589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100D"/>
    <w:rsid w:val="00E86FE7"/>
    <w:rsid w:val="00E87E8B"/>
    <w:rsid w:val="00E901C1"/>
    <w:rsid w:val="00E97E53"/>
    <w:rsid w:val="00EA0E65"/>
    <w:rsid w:val="00EB20BF"/>
    <w:rsid w:val="00EB7DA0"/>
    <w:rsid w:val="00EF17AC"/>
    <w:rsid w:val="00EF2B6F"/>
    <w:rsid w:val="00F17B47"/>
    <w:rsid w:val="00F56367"/>
    <w:rsid w:val="00F5746D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</TotalTime>
  <Pages>4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</vt:lpstr>
    </vt:vector>
  </TitlesOfParts>
  <Manager>laurent.gougeon@cdg45.fr</Manager>
  <Company>CDG 45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maintien en surnombre dans sa collectivité d'origine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2024-04-27T20:14:00Z</dcterms:created>
  <dcterms:modified xsi:type="dcterms:W3CDTF">2024-04-27T20:18:00Z</dcterms:modified>
</cp:coreProperties>
</file>