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EF2C122" w14:textId="12D844AF" w:rsidR="00EC30DA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après </w:t>
      </w:r>
      <w:r w:rsidR="00D3533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une 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exclusion temporaire </w:t>
      </w:r>
    </w:p>
    <w:p w14:paraId="50682B06" w14:textId="2D591955" w:rsidR="00BA74E6" w:rsidRPr="00F2481D" w:rsidRDefault="00EC30DA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fonctions</w:t>
      </w:r>
      <w:r w:rsidR="001C0ACC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DE15AF"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D3533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37B722E" w14:textId="77777777" w:rsidR="00220B5D" w:rsidRPr="00137D8F" w:rsidRDefault="00220B5D" w:rsidP="00220B5D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1D80AE1" w14:textId="77777777" w:rsidR="00220B5D" w:rsidRPr="00137D8F" w:rsidRDefault="00220B5D" w:rsidP="00220B5D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48262E1B" w14:textId="77777777" w:rsidR="00220B5D" w:rsidRPr="00137D8F" w:rsidRDefault="00220B5D" w:rsidP="00220B5D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BC3AFE0" w14:textId="77777777" w:rsidR="00220B5D" w:rsidRPr="00137D8F" w:rsidRDefault="00220B5D" w:rsidP="00220B5D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F208348" w14:textId="14EFA922" w:rsidR="00953EC4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>réintégration après exclusion temporaire de fonctions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7EF52F32" w:rsidR="00220B5D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733F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77777777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F4674E3" w14:textId="77777777" w:rsidR="00220B5D" w:rsidRDefault="00220B5D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L.530-1 et L.532-1,</w:t>
      </w:r>
    </w:p>
    <w:p w14:paraId="2CFF0C7F" w14:textId="77777777" w:rsidR="00220B5D" w:rsidRDefault="00220B5D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23195F" w14:textId="6B1B0011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6866C38" w:rsidR="0044365B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F26FFE" w14:textId="27E379BD" w:rsidR="007357F9" w:rsidRPr="004F6100" w:rsidRDefault="007357F9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4F6100">
        <w:rPr>
          <w:rFonts w:ascii="Ebrima" w:hAnsi="Ebrima"/>
          <w:iCs/>
          <w:sz w:val="20"/>
          <w:szCs w:val="20"/>
        </w:rPr>
        <w:t xml:space="preserve">Vu le décret n°89-677 du 18 septembre 1989 </w:t>
      </w:r>
      <w:r w:rsidR="004F6100">
        <w:rPr>
          <w:rFonts w:ascii="Ebrima" w:hAnsi="Ebrima"/>
          <w:iCs/>
          <w:sz w:val="20"/>
          <w:szCs w:val="20"/>
        </w:rPr>
        <w:t xml:space="preserve">modifié </w:t>
      </w:r>
      <w:r w:rsidRPr="004F6100">
        <w:rPr>
          <w:rFonts w:ascii="Ebrima" w:hAnsi="Ebrima"/>
          <w:iCs/>
          <w:sz w:val="20"/>
          <w:szCs w:val="20"/>
        </w:rPr>
        <w:t>relatif à la procédure disciplinaire applicable aux fonctionnaires territoriaux</w:t>
      </w:r>
      <w:r w:rsidR="005541F1">
        <w:rPr>
          <w:rFonts w:ascii="Ebrima" w:hAnsi="Ebrima"/>
          <w:iCs/>
          <w:sz w:val="20"/>
          <w:szCs w:val="20"/>
        </w:rPr>
        <w:t>,</w:t>
      </w:r>
    </w:p>
    <w:p w14:paraId="75805CF3" w14:textId="77777777" w:rsidR="004F6100" w:rsidRPr="00137D8F" w:rsidRDefault="004F6100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1A35B298" w:rsidR="0044365B" w:rsidRPr="00137D8F" w:rsidRDefault="004F6100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220B5D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4F6100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Pr="004F6100">
        <w:rPr>
          <w:rFonts w:ascii="Ebrima" w:hAnsi="Ebrima"/>
          <w:iCs/>
          <w:sz w:val="20"/>
          <w:szCs w:val="20"/>
        </w:rPr>
        <w:t xml:space="preserve">modifié </w:t>
      </w:r>
      <w:r w:rsidR="0044365B" w:rsidRPr="004F6100">
        <w:rPr>
          <w:rFonts w:ascii="Ebrima" w:hAnsi="Ebrima"/>
          <w:iCs/>
          <w:sz w:val="20"/>
          <w:szCs w:val="20"/>
        </w:rPr>
        <w:t>portant dispositions statutaires 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741D2B30" w14:textId="77777777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CD64F1C" w14:textId="5733C601" w:rsidR="00220B5D" w:rsidRPr="004F6100" w:rsidRDefault="004F6100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 w:rsidR="00EC30DA"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 w:rsidR="00EC30DA"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EC30DA" w:rsidRPr="00EC30DA">
        <w:rPr>
          <w:rFonts w:ascii="Ebrima" w:hAnsi="Ebrima"/>
          <w:iCs/>
          <w:sz w:val="20"/>
          <w:szCs w:val="20"/>
        </w:rPr>
        <w:t xml:space="preserve">portant exclusion temporaire de fonctions de </w:t>
      </w:r>
      <w:r w:rsidR="00EC30DA" w:rsidRPr="00EC30DA">
        <w:rPr>
          <w:rFonts w:ascii="Ebrima" w:hAnsi="Ebrima"/>
          <w:iCs/>
          <w:sz w:val="20"/>
          <w:szCs w:val="20"/>
          <w:highlight w:val="yellow"/>
        </w:rPr>
        <w:t>…</w:t>
      </w:r>
      <w:r w:rsidR="00EC30DA">
        <w:rPr>
          <w:rFonts w:ascii="Ebrima" w:hAnsi="Ebrima"/>
          <w:i/>
          <w:sz w:val="20"/>
          <w:szCs w:val="20"/>
        </w:rPr>
        <w:t xml:space="preserve"> (durée) </w:t>
      </w:r>
      <w:r w:rsidR="00EC30DA" w:rsidRPr="00EC30DA">
        <w:rPr>
          <w:rFonts w:ascii="Ebrima" w:hAnsi="Ebrima"/>
          <w:iCs/>
          <w:sz w:val="20"/>
          <w:szCs w:val="20"/>
        </w:rPr>
        <w:t>de</w:t>
      </w:r>
      <w:r w:rsidR="00EC30DA">
        <w:rPr>
          <w:rFonts w:ascii="Ebrima" w:hAnsi="Ebrima"/>
          <w:i/>
          <w:sz w:val="20"/>
          <w:szCs w:val="20"/>
        </w:rPr>
        <w:t xml:space="preserve"> </w:t>
      </w:r>
      <w:r w:rsidR="00220B5D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220B5D" w:rsidRPr="008046E1">
        <w:rPr>
          <w:rFonts w:ascii="Ebrima" w:hAnsi="Ebrima"/>
          <w:sz w:val="20"/>
          <w:szCs w:val="20"/>
        </w:rPr>
        <w:t xml:space="preserve"> </w:t>
      </w:r>
      <w:r w:rsidR="00220B5D" w:rsidRPr="008046E1">
        <w:rPr>
          <w:rFonts w:ascii="Ebrima" w:hAnsi="Ebrima"/>
          <w:sz w:val="20"/>
          <w:szCs w:val="20"/>
          <w:highlight w:val="yellow"/>
        </w:rPr>
        <w:t>…</w:t>
      </w:r>
      <w:r w:rsidR="00220B5D">
        <w:rPr>
          <w:rFonts w:ascii="Ebrima" w:hAnsi="Ebrima"/>
          <w:sz w:val="20"/>
          <w:szCs w:val="20"/>
        </w:rPr>
        <w:t xml:space="preserve"> </w:t>
      </w:r>
      <w:r w:rsidR="00220B5D" w:rsidRPr="008046E1">
        <w:rPr>
          <w:rFonts w:ascii="Ebrima" w:hAnsi="Ebrima"/>
          <w:i/>
          <w:sz w:val="20"/>
          <w:szCs w:val="20"/>
        </w:rPr>
        <w:t xml:space="preserve">(prénom </w:t>
      </w:r>
      <w:r w:rsidR="00220B5D">
        <w:rPr>
          <w:rFonts w:ascii="Ebrima" w:hAnsi="Ebrima"/>
          <w:i/>
          <w:sz w:val="20"/>
          <w:szCs w:val="20"/>
        </w:rPr>
        <w:t xml:space="preserve">et NOM </w:t>
      </w:r>
      <w:r w:rsidR="00220B5D" w:rsidRPr="008046E1">
        <w:rPr>
          <w:rFonts w:ascii="Ebrima" w:hAnsi="Ebrima"/>
          <w:i/>
          <w:sz w:val="20"/>
          <w:szCs w:val="20"/>
        </w:rPr>
        <w:t>de l’agent)</w:t>
      </w:r>
      <w:r w:rsidR="00220B5D">
        <w:rPr>
          <w:rFonts w:ascii="Ebrima" w:hAnsi="Ebrima"/>
          <w:i/>
          <w:sz w:val="20"/>
          <w:szCs w:val="20"/>
        </w:rPr>
        <w:t>,</w:t>
      </w:r>
    </w:p>
    <w:p w14:paraId="1302B550" w14:textId="64A5B5CB" w:rsidR="004F6100" w:rsidRDefault="004F6100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E36A1FB" w14:textId="0509720D" w:rsidR="00EC30DA" w:rsidRDefault="00EC30DA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220B5D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220B5D" w:rsidRPr="008046E1">
        <w:rPr>
          <w:rFonts w:ascii="Ebrima" w:hAnsi="Ebrima"/>
          <w:sz w:val="20"/>
          <w:szCs w:val="20"/>
        </w:rPr>
        <w:t xml:space="preserve"> </w:t>
      </w:r>
      <w:r w:rsidR="00220B5D" w:rsidRPr="008046E1">
        <w:rPr>
          <w:rFonts w:ascii="Ebrima" w:hAnsi="Ebrima"/>
          <w:sz w:val="20"/>
          <w:szCs w:val="20"/>
          <w:highlight w:val="yellow"/>
        </w:rPr>
        <w:t>…</w:t>
      </w:r>
      <w:r w:rsidR="00220B5D">
        <w:rPr>
          <w:rFonts w:ascii="Ebrima" w:hAnsi="Ebrima"/>
          <w:sz w:val="20"/>
          <w:szCs w:val="20"/>
        </w:rPr>
        <w:t xml:space="preserve"> </w:t>
      </w:r>
      <w:r w:rsidR="00220B5D" w:rsidRPr="008046E1">
        <w:rPr>
          <w:rFonts w:ascii="Ebrima" w:hAnsi="Ebrima"/>
          <w:i/>
          <w:sz w:val="20"/>
          <w:szCs w:val="20"/>
        </w:rPr>
        <w:t xml:space="preserve">(prénom </w:t>
      </w:r>
      <w:r w:rsidR="00220B5D">
        <w:rPr>
          <w:rFonts w:ascii="Ebrima" w:hAnsi="Ebrima"/>
          <w:i/>
          <w:sz w:val="20"/>
          <w:szCs w:val="20"/>
        </w:rPr>
        <w:t xml:space="preserve">et NOM </w:t>
      </w:r>
      <w:r w:rsidR="00220B5D" w:rsidRPr="008046E1">
        <w:rPr>
          <w:rFonts w:ascii="Ebrima" w:hAnsi="Ebrima"/>
          <w:i/>
          <w:sz w:val="20"/>
          <w:szCs w:val="20"/>
        </w:rPr>
        <w:t>de l’agent)</w:t>
      </w:r>
      <w:r w:rsidR="00220B5D">
        <w:rPr>
          <w:rFonts w:ascii="Ebrima" w:hAnsi="Ebrima"/>
          <w:i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a fait l’objet d’une exclusion temporaire de fonctions de </w:t>
      </w:r>
      <w:r w:rsidRPr="00EC30DA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(durée) </w:t>
      </w:r>
      <w:r w:rsidRPr="00EC30DA">
        <w:rPr>
          <w:rFonts w:ascii="Ebrima" w:hAnsi="Ebrima"/>
          <w:iCs/>
          <w:sz w:val="20"/>
          <w:szCs w:val="20"/>
        </w:rPr>
        <w:t>qui est parvenue à son terme</w:t>
      </w:r>
      <w:r>
        <w:rPr>
          <w:rFonts w:ascii="Ebrima" w:hAnsi="Ebrima"/>
          <w:i/>
          <w:sz w:val="20"/>
          <w:szCs w:val="20"/>
        </w:rPr>
        <w:t>.</w:t>
      </w:r>
    </w:p>
    <w:p w14:paraId="0D7D5B9A" w14:textId="77777777" w:rsidR="00EC30DA" w:rsidRDefault="00EC30DA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14E9D7A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991C43E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08F1693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DE70B6D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A5E278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56FC767" w14:textId="77777777" w:rsidR="00220B5D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7EA9BCA" w14:textId="77777777" w:rsidR="00220B5D" w:rsidRPr="004F6100" w:rsidRDefault="00220B5D" w:rsidP="004F610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44253C" w:rsidRDefault="00922476" w:rsidP="00220B5D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220B5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220B5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220B5D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149CA59" w14:textId="77777777" w:rsidR="00220B5D" w:rsidRDefault="00220B5D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31A17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 w:rsidR="008046E1" w:rsidRPr="008046E1">
        <w:rPr>
          <w:rFonts w:ascii="Ebrima" w:hAnsi="Ebrima"/>
          <w:i/>
          <w:sz w:val="20"/>
          <w:szCs w:val="20"/>
        </w:rPr>
        <w:t>,</w:t>
      </w:r>
      <w:r w:rsidR="008046E1" w:rsidRPr="008046E1">
        <w:rPr>
          <w:rFonts w:ascii="Ebrima" w:hAnsi="Ebrima"/>
          <w:sz w:val="20"/>
          <w:szCs w:val="20"/>
        </w:rPr>
        <w:t xml:space="preserve"> grade </w:t>
      </w:r>
      <w:r w:rsidR="008046E1" w:rsidRPr="008046E1">
        <w:rPr>
          <w:rFonts w:ascii="Ebrima" w:hAnsi="Ebrima"/>
          <w:sz w:val="20"/>
          <w:szCs w:val="20"/>
          <w:highlight w:val="yellow"/>
        </w:rPr>
        <w:t>…</w:t>
      </w:r>
      <w:r w:rsidR="008046E1">
        <w:rPr>
          <w:rFonts w:ascii="Ebrima" w:hAnsi="Ebrima"/>
          <w:sz w:val="20"/>
          <w:szCs w:val="20"/>
        </w:rPr>
        <w:t xml:space="preserve"> </w:t>
      </w:r>
      <w:r w:rsidR="008046E1"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 w:rsidR="00EC30DA">
        <w:rPr>
          <w:rFonts w:ascii="Ebrima" w:hAnsi="Ebrima"/>
          <w:sz w:val="20"/>
          <w:szCs w:val="20"/>
        </w:rPr>
        <w:t xml:space="preserve"> est réintégré</w:t>
      </w:r>
      <w:r w:rsidR="00E724B0">
        <w:rPr>
          <w:rFonts w:ascii="Ebrima" w:hAnsi="Ebrima"/>
          <w:sz w:val="20"/>
          <w:szCs w:val="20"/>
        </w:rPr>
        <w:t>(</w:t>
      </w:r>
      <w:r w:rsidR="00EC30DA">
        <w:rPr>
          <w:rFonts w:ascii="Ebrima" w:hAnsi="Ebrima"/>
          <w:sz w:val="20"/>
          <w:szCs w:val="20"/>
        </w:rPr>
        <w:t>e</w:t>
      </w:r>
      <w:r w:rsidR="00E724B0">
        <w:rPr>
          <w:rFonts w:ascii="Ebrima" w:hAnsi="Ebrima"/>
          <w:sz w:val="20"/>
          <w:szCs w:val="20"/>
        </w:rPr>
        <w:t xml:space="preserve">) </w:t>
      </w:r>
      <w:r>
        <w:rPr>
          <w:rFonts w:ascii="Ebrima" w:hAnsi="Ebrima"/>
          <w:sz w:val="20"/>
          <w:szCs w:val="20"/>
        </w:rPr>
        <w:t xml:space="preserve">sur l’emploi de </w:t>
      </w:r>
      <w:r w:rsidRPr="0048532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85329">
        <w:rPr>
          <w:rFonts w:ascii="Ebrima" w:hAnsi="Ebrima"/>
          <w:i/>
          <w:iCs/>
          <w:sz w:val="20"/>
          <w:szCs w:val="20"/>
        </w:rPr>
        <w:t>(dénomination de l’emploi)</w:t>
      </w:r>
      <w:r>
        <w:rPr>
          <w:rStyle w:val="Appelnotedebasdep"/>
          <w:rFonts w:ascii="Ebrima" w:hAnsi="Ebrima"/>
          <w:i/>
          <w:iCs/>
          <w:sz w:val="20"/>
          <w:szCs w:val="20"/>
        </w:rPr>
        <w:footnoteReference w:id="2"/>
      </w:r>
      <w:r>
        <w:rPr>
          <w:rFonts w:ascii="Ebrima" w:hAnsi="Ebrima"/>
          <w:sz w:val="20"/>
          <w:szCs w:val="20"/>
        </w:rPr>
        <w:t xml:space="preserve"> et recouvre ses droits à rémunération, avancement, congés annuels, ARTT et retraite depuis la date fixée à l’article 2.</w:t>
      </w:r>
    </w:p>
    <w:p w14:paraId="42068344" w14:textId="77777777" w:rsidR="00220B5D" w:rsidRPr="008046E1" w:rsidRDefault="00220B5D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6E46AE9" w:rsidR="002F6A36" w:rsidRPr="008046E1" w:rsidRDefault="00B670D1" w:rsidP="00220B5D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220B5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220B5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3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220B5D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220B5D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03DAD152" w14:textId="77777777" w:rsidR="00220B5D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2BB6BC0" w14:textId="77777777" w:rsidR="00220B5D" w:rsidRDefault="00220B5D" w:rsidP="00220B5D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5D43FE">
        <w:rPr>
          <w:rFonts w:ascii="Ebrima" w:hAnsi="Ebrima"/>
          <w:iCs/>
          <w:sz w:val="20"/>
          <w:szCs w:val="20"/>
        </w:rPr>
        <w:t>est classé</w:t>
      </w:r>
      <w:r>
        <w:rPr>
          <w:rFonts w:ascii="Ebrima" w:hAnsi="Ebrima"/>
          <w:iCs/>
          <w:sz w:val="20"/>
          <w:szCs w:val="20"/>
        </w:rPr>
        <w:t>(e)</w:t>
      </w:r>
      <w:r>
        <w:rPr>
          <w:rFonts w:ascii="Ebrima" w:hAnsi="Ebrima"/>
          <w:i/>
          <w:sz w:val="20"/>
          <w:szCs w:val="20"/>
        </w:rPr>
        <w:t xml:space="preserve"> </w:t>
      </w:r>
    </w:p>
    <w:p w14:paraId="2B218842" w14:textId="77777777" w:rsidR="00220B5D" w:rsidRDefault="00220B5D" w:rsidP="00220B5D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07507D8" w14:textId="77777777" w:rsidR="00220B5D" w:rsidRPr="000A1D9A" w:rsidRDefault="00220B5D" w:rsidP="00220B5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64BAC853" w14:textId="77777777" w:rsidR="00220B5D" w:rsidRPr="000A1D9A" w:rsidRDefault="00220B5D" w:rsidP="00220B5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6CA416B4" w14:textId="77777777" w:rsidR="00220B5D" w:rsidRPr="000A1D9A" w:rsidRDefault="00220B5D" w:rsidP="00220B5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6E07EF93" w14:textId="77777777" w:rsidR="00220B5D" w:rsidRPr="000A1D9A" w:rsidRDefault="00220B5D" w:rsidP="00220B5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17EC1BB" w14:textId="77777777" w:rsidR="00220B5D" w:rsidRPr="005D43FE" w:rsidRDefault="00220B5D" w:rsidP="00220B5D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36DAE8FE" w14:textId="77777777" w:rsidR="00220B5D" w:rsidRPr="005D43FE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D6FFFDC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63386C1" w14:textId="77777777" w:rsidR="00220B5D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99D00E6" w:rsidR="007B0DEE" w:rsidRPr="00137D8F" w:rsidRDefault="00552018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C37ED3" w14:textId="6306EBE7" w:rsidR="00220B5D" w:rsidRPr="007454EF" w:rsidRDefault="00220B5D" w:rsidP="00220B5D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FA7950D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2B0DCA0C" w14:textId="77777777" w:rsidR="00220B5D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8987D98" w14:textId="3ABA22B9" w:rsidR="00220B5D" w:rsidRPr="007454EF" w:rsidRDefault="00220B5D" w:rsidP="00220B5D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D1728EF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89FDEA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4DED079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F0A353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74B67A2C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779CDB7" w14:textId="77777777" w:rsidR="00220B5D" w:rsidRPr="00137D8F" w:rsidRDefault="00220B5D" w:rsidP="00220B5D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6D5B654" w14:textId="77777777" w:rsidR="00220B5D" w:rsidRPr="00137D8F" w:rsidRDefault="00220B5D" w:rsidP="00220B5D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FC08DFB" w14:textId="77777777" w:rsidR="00220B5D" w:rsidRPr="00137D8F" w:rsidRDefault="00220B5D" w:rsidP="00220B5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913AB60" w14:textId="77777777" w:rsidR="00220B5D" w:rsidRPr="00137D8F" w:rsidRDefault="00220B5D" w:rsidP="00220B5D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2A26FDE" w14:textId="77777777" w:rsidR="00220B5D" w:rsidRPr="00137D8F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CAA8A5E" w14:textId="77777777" w:rsidR="00220B5D" w:rsidRPr="00137D8F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058AEF26" w14:textId="77777777" w:rsidR="00220B5D" w:rsidRPr="00137D8F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3E0544B8" w14:textId="77777777" w:rsidR="00220B5D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B2A1E5C" w14:textId="77777777" w:rsidR="00220B5D" w:rsidRPr="00137D8F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9DB8F41" w14:textId="77777777" w:rsidR="00220B5D" w:rsidRPr="00137D8F" w:rsidRDefault="00220B5D" w:rsidP="00220B5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71396BF" w14:textId="77777777" w:rsidR="00220B5D" w:rsidRPr="00137D8F" w:rsidRDefault="00220B5D" w:rsidP="00220B5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58AC09B" w14:textId="77777777" w:rsidR="00220B5D" w:rsidRPr="00137D8F" w:rsidRDefault="00220B5D" w:rsidP="00220B5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70BBC06" w14:textId="77777777" w:rsidR="00220B5D" w:rsidRPr="00137D8F" w:rsidRDefault="00220B5D" w:rsidP="00220B5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838F11E" w14:textId="77777777" w:rsidR="00220B5D" w:rsidRPr="00137D8F" w:rsidRDefault="00220B5D" w:rsidP="00220B5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6B86FBEA" w14:textId="77777777" w:rsidR="00220B5D" w:rsidRPr="00137D8F" w:rsidRDefault="00220B5D" w:rsidP="00220B5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601BDB63" w:rsidR="007B0DEE" w:rsidRPr="00137D8F" w:rsidRDefault="00220B5D" w:rsidP="007E288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  <w:bookmarkEnd w:id="1"/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23E6376D" w14:textId="77777777" w:rsidR="00220B5D" w:rsidRPr="00485329" w:rsidRDefault="00220B5D" w:rsidP="00220B5D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485329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485329">
        <w:rPr>
          <w:rFonts w:ascii="Ebrima" w:hAnsi="Ebrima"/>
          <w:i/>
          <w:iCs/>
          <w:sz w:val="18"/>
          <w:szCs w:val="18"/>
        </w:rPr>
        <w:t xml:space="preserve"> </w:t>
      </w:r>
      <w:r w:rsidRPr="00485329">
        <w:rPr>
          <w:rFonts w:ascii="Ebrima" w:hAnsi="Ebrima"/>
          <w:i/>
          <w:iCs/>
          <w:sz w:val="18"/>
          <w:szCs w:val="18"/>
          <w:lang w:val="fr-CA"/>
        </w:rPr>
        <w:t>L’emploi est soit celui précédemment occupé soit un emploi équivalent</w:t>
      </w:r>
    </w:p>
  </w:footnote>
  <w:footnote w:id="3">
    <w:p w14:paraId="0051E676" w14:textId="396187EA" w:rsidR="008046E1" w:rsidRPr="008046E1" w:rsidRDefault="008046E1" w:rsidP="00EC30DA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>est celle du jour suivant le dernier jour de la période d’exclusion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20">
    <w:abstractNumId w:val="11"/>
  </w:num>
  <w:num w:numId="2" w16cid:durableId="2092896028">
    <w:abstractNumId w:val="12"/>
  </w:num>
  <w:num w:numId="3" w16cid:durableId="861746233">
    <w:abstractNumId w:val="4"/>
  </w:num>
  <w:num w:numId="4" w16cid:durableId="348071483">
    <w:abstractNumId w:val="10"/>
  </w:num>
  <w:num w:numId="5" w16cid:durableId="366180033">
    <w:abstractNumId w:val="7"/>
  </w:num>
  <w:num w:numId="6" w16cid:durableId="425275852">
    <w:abstractNumId w:val="0"/>
  </w:num>
  <w:num w:numId="7" w16cid:durableId="2100783986">
    <w:abstractNumId w:val="13"/>
  </w:num>
  <w:num w:numId="8" w16cid:durableId="347298701">
    <w:abstractNumId w:val="9"/>
  </w:num>
  <w:num w:numId="9" w16cid:durableId="1487359131">
    <w:abstractNumId w:val="8"/>
  </w:num>
  <w:num w:numId="10" w16cid:durableId="1971204803">
    <w:abstractNumId w:val="2"/>
  </w:num>
  <w:num w:numId="11" w16cid:durableId="1426920809">
    <w:abstractNumId w:val="14"/>
  </w:num>
  <w:num w:numId="12" w16cid:durableId="806164635">
    <w:abstractNumId w:val="5"/>
  </w:num>
  <w:num w:numId="13" w16cid:durableId="83964062">
    <w:abstractNumId w:val="3"/>
  </w:num>
  <w:num w:numId="14" w16cid:durableId="1846439435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0B00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5D15"/>
    <w:rsid w:val="00220B5D"/>
    <w:rsid w:val="00237361"/>
    <w:rsid w:val="00244619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A36"/>
    <w:rsid w:val="002F7693"/>
    <w:rsid w:val="0030230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7AE0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96B69"/>
    <w:rsid w:val="005B0A62"/>
    <w:rsid w:val="005B1777"/>
    <w:rsid w:val="005B17A6"/>
    <w:rsid w:val="005F3A77"/>
    <w:rsid w:val="005F4FDE"/>
    <w:rsid w:val="0061002A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E2881"/>
    <w:rsid w:val="007E6B3C"/>
    <w:rsid w:val="007F2A1C"/>
    <w:rsid w:val="007F2C9C"/>
    <w:rsid w:val="008025A7"/>
    <w:rsid w:val="008046E1"/>
    <w:rsid w:val="00805D85"/>
    <w:rsid w:val="008213E2"/>
    <w:rsid w:val="0083452F"/>
    <w:rsid w:val="008556D9"/>
    <w:rsid w:val="0086146E"/>
    <w:rsid w:val="00870610"/>
    <w:rsid w:val="00880727"/>
    <w:rsid w:val="0088697E"/>
    <w:rsid w:val="00891B1F"/>
    <w:rsid w:val="00893AEB"/>
    <w:rsid w:val="008A45D3"/>
    <w:rsid w:val="008A64CC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53EC4"/>
    <w:rsid w:val="009852C8"/>
    <w:rsid w:val="009871F6"/>
    <w:rsid w:val="009A56F6"/>
    <w:rsid w:val="009B1A8A"/>
    <w:rsid w:val="009D734B"/>
    <w:rsid w:val="009E0736"/>
    <w:rsid w:val="009E0D05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65F2F"/>
    <w:rsid w:val="00C87016"/>
    <w:rsid w:val="00C925AD"/>
    <w:rsid w:val="00C93B58"/>
    <w:rsid w:val="00CA01B1"/>
    <w:rsid w:val="00CE59ED"/>
    <w:rsid w:val="00D013DC"/>
    <w:rsid w:val="00D30D25"/>
    <w:rsid w:val="00D31B27"/>
    <w:rsid w:val="00D340A1"/>
    <w:rsid w:val="00D35330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E53"/>
    <w:rsid w:val="00EB20BF"/>
    <w:rsid w:val="00EB7DA0"/>
    <w:rsid w:val="00EC30DA"/>
    <w:rsid w:val="00F17B47"/>
    <w:rsid w:val="00F2481D"/>
    <w:rsid w:val="00F4642A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exclusion temporaire de fonctions 4 à 15 jours Titulaire</vt:lpstr>
    </vt:vector>
  </TitlesOfParts>
  <Manager>laurent.gougeon@cdg45.fr</Manager>
  <Company>CDG 45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après exclusion temporaire de fonctions d'un Titulaire</dc:title>
  <dc:subject/>
  <dc:creator>laurent.gougeon@cdg45.fr</dc:creator>
  <cp:keywords>Modèle;arrêté;discipline, blâme, titulaire;exclusion, temporaire,fonctions,;exclusion, temporaire, fonctions;rétrogradation;retraite d'office;révocation</cp:keywords>
  <dc:description/>
  <cp:lastModifiedBy>Laurent GOUGEON</cp:lastModifiedBy>
  <cp:revision>6</cp:revision>
  <cp:lastPrinted>2020-04-08T06:34:00Z</cp:lastPrinted>
  <dcterms:created xsi:type="dcterms:W3CDTF">2021-07-09T14:31:00Z</dcterms:created>
  <dcterms:modified xsi:type="dcterms:W3CDTF">2024-07-09T20:42:00Z</dcterms:modified>
</cp:coreProperties>
</file>